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3994A" w14:textId="2FC26BF0" w:rsidR="00B14FFD" w:rsidRDefault="005C0213" w:rsidP="35BD0857">
      <w:pPr>
        <w:pStyle w:val="Normaallaadveeb"/>
        <w:jc w:val="both"/>
        <w:rPr>
          <w:rFonts w:asciiTheme="minorHAnsi" w:hAnsiTheme="minorHAnsi"/>
          <w:b/>
          <w:bCs/>
          <w:color w:val="000000" w:themeColor="text1"/>
          <w:sz w:val="28"/>
          <w:szCs w:val="28"/>
        </w:rPr>
      </w:pPr>
      <w:r>
        <w:rPr>
          <w:noProof/>
        </w:rPr>
        <w:drawing>
          <wp:inline distT="0" distB="0" distL="0" distR="0" wp14:anchorId="50B399B2" wp14:editId="151C34C2">
            <wp:extent cx="1905000" cy="1104900"/>
            <wp:effectExtent l="0" t="0" r="0" b="0"/>
            <wp:docPr id="2" name="Pilt 1" descr="Pilt, millel on kujutatud tekst, graafiline disain, Graafika, logo&#10;&#10;Tehisintellekti genereeritud sisu ei pruugi olla õ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lt 1" descr="Pilt, millel on kujutatud tekst, graafiline disain, Graafika, logo&#10;&#10;Tehisintellekti genereeritud sisu ei pruugi olla õi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1104900"/>
                    </a:xfrm>
                    <a:prstGeom prst="rect">
                      <a:avLst/>
                    </a:prstGeom>
                    <a:noFill/>
                    <a:ln>
                      <a:noFill/>
                    </a:ln>
                  </pic:spPr>
                </pic:pic>
              </a:graphicData>
            </a:graphic>
          </wp:inline>
        </w:drawing>
      </w:r>
    </w:p>
    <w:p w14:paraId="5E24C750" w14:textId="77777777" w:rsidR="005C0213" w:rsidRDefault="005C0213" w:rsidP="35BD0857">
      <w:pPr>
        <w:pStyle w:val="Normaallaadveeb"/>
        <w:jc w:val="both"/>
        <w:rPr>
          <w:rFonts w:asciiTheme="minorHAnsi" w:hAnsiTheme="minorHAnsi"/>
          <w:b/>
          <w:bCs/>
          <w:color w:val="000000" w:themeColor="text1"/>
          <w:sz w:val="28"/>
          <w:szCs w:val="28"/>
        </w:rPr>
      </w:pPr>
    </w:p>
    <w:p w14:paraId="6F958AA9" w14:textId="77777777" w:rsidR="005C0213" w:rsidRDefault="005C0213" w:rsidP="35BD0857">
      <w:pPr>
        <w:pStyle w:val="Normaallaadveeb"/>
        <w:jc w:val="both"/>
        <w:rPr>
          <w:rFonts w:asciiTheme="minorHAnsi" w:hAnsiTheme="minorHAnsi"/>
          <w:b/>
          <w:bCs/>
          <w:color w:val="000000" w:themeColor="text1"/>
          <w:sz w:val="28"/>
          <w:szCs w:val="28"/>
        </w:rPr>
      </w:pPr>
    </w:p>
    <w:p w14:paraId="1E3356C9" w14:textId="77777777" w:rsidR="00D67A8A" w:rsidRDefault="00C62D82" w:rsidP="00C62D82">
      <w:pPr>
        <w:pStyle w:val="paragraph"/>
        <w:spacing w:before="0" w:beforeAutospacing="0" w:after="0" w:afterAutospacing="0"/>
        <w:jc w:val="center"/>
        <w:textAlignment w:val="baseline"/>
        <w:rPr>
          <w:rStyle w:val="eop"/>
          <w:rFonts w:ascii="Cambria" w:eastAsiaTheme="majorEastAsia" w:hAnsi="Cambria" w:cs="Segoe UI"/>
          <w:color w:val="0070C0"/>
          <w:sz w:val="48"/>
          <w:szCs w:val="48"/>
        </w:rPr>
      </w:pPr>
      <w:r>
        <w:rPr>
          <w:rStyle w:val="normaltextrun"/>
          <w:rFonts w:ascii="Cambria" w:eastAsiaTheme="majorEastAsia" w:hAnsi="Cambria" w:cs="Segoe UI"/>
          <w:b/>
          <w:bCs/>
          <w:color w:val="0070C0"/>
          <w:sz w:val="48"/>
          <w:szCs w:val="48"/>
        </w:rPr>
        <w:t>Ühtekuuluvuspoliitika fondide rakenduskava perioodiks 2021-2027</w:t>
      </w:r>
      <w:r>
        <w:rPr>
          <w:rStyle w:val="eop"/>
          <w:rFonts w:ascii="Cambria" w:eastAsiaTheme="majorEastAsia" w:hAnsi="Cambria" w:cs="Segoe UI"/>
          <w:color w:val="0070C0"/>
          <w:sz w:val="48"/>
          <w:szCs w:val="48"/>
        </w:rPr>
        <w:t> </w:t>
      </w:r>
    </w:p>
    <w:p w14:paraId="6179FAA9" w14:textId="2F533448" w:rsidR="00C62D82" w:rsidRDefault="07F264C2" w:rsidP="00C62D82">
      <w:pPr>
        <w:pStyle w:val="paragraph"/>
        <w:spacing w:before="0" w:beforeAutospacing="0" w:after="0" w:afterAutospacing="0"/>
        <w:jc w:val="center"/>
        <w:textAlignment w:val="baseline"/>
        <w:rPr>
          <w:rStyle w:val="eop"/>
          <w:rFonts w:ascii="Cambria" w:eastAsiaTheme="majorEastAsia" w:hAnsi="Cambria" w:cs="Segoe UI"/>
          <w:color w:val="0070C0"/>
          <w:sz w:val="48"/>
          <w:szCs w:val="48"/>
        </w:rPr>
      </w:pPr>
      <w:r w:rsidRPr="2999F8CB">
        <w:rPr>
          <w:rStyle w:val="eop"/>
          <w:rFonts w:ascii="Cambria" w:eastAsiaTheme="majorEastAsia" w:hAnsi="Cambria" w:cs="Segoe UI"/>
          <w:color w:val="0070C0"/>
          <w:sz w:val="48"/>
          <w:szCs w:val="48"/>
        </w:rPr>
        <w:t>Neljas</w:t>
      </w:r>
      <w:r w:rsidR="00D67A8A">
        <w:rPr>
          <w:rStyle w:val="eop"/>
          <w:rFonts w:ascii="Cambria" w:eastAsiaTheme="majorEastAsia" w:hAnsi="Cambria" w:cs="Segoe UI"/>
          <w:color w:val="0070C0"/>
          <w:sz w:val="48"/>
          <w:szCs w:val="48"/>
        </w:rPr>
        <w:t xml:space="preserve"> muudatus</w:t>
      </w:r>
    </w:p>
    <w:p w14:paraId="1F920142" w14:textId="77777777" w:rsidR="00C62D82" w:rsidRDefault="00C62D82" w:rsidP="00C62D82">
      <w:pPr>
        <w:pStyle w:val="paragraph"/>
        <w:spacing w:before="0" w:beforeAutospacing="0" w:after="0" w:afterAutospacing="0"/>
        <w:jc w:val="center"/>
        <w:textAlignment w:val="baseline"/>
        <w:rPr>
          <w:rFonts w:ascii="Segoe UI" w:hAnsi="Segoe UI" w:cs="Segoe UI"/>
          <w:sz w:val="18"/>
          <w:szCs w:val="18"/>
        </w:rPr>
      </w:pPr>
      <w:r>
        <w:rPr>
          <w:rStyle w:val="normaltextrun"/>
          <w:rFonts w:ascii="Cambria" w:eastAsiaTheme="majorEastAsia" w:hAnsi="Cambria" w:cs="Segoe UI"/>
          <w:sz w:val="32"/>
          <w:szCs w:val="32"/>
        </w:rPr>
        <w:t>CCI: 2021EE16FFPR001</w:t>
      </w:r>
      <w:r>
        <w:rPr>
          <w:rStyle w:val="eop"/>
          <w:rFonts w:ascii="Cambria" w:eastAsiaTheme="majorEastAsia" w:hAnsi="Cambria" w:cs="Segoe UI"/>
          <w:sz w:val="32"/>
          <w:szCs w:val="32"/>
        </w:rPr>
        <w:t> </w:t>
      </w:r>
    </w:p>
    <w:p w14:paraId="3F470EFA" w14:textId="77777777" w:rsidR="00C62D82" w:rsidRDefault="00C62D82" w:rsidP="00C62D82">
      <w:pPr>
        <w:pStyle w:val="paragraph"/>
        <w:spacing w:before="0" w:beforeAutospacing="0" w:after="0" w:afterAutospacing="0"/>
        <w:jc w:val="center"/>
        <w:textAlignment w:val="baseline"/>
        <w:rPr>
          <w:rFonts w:ascii="Segoe UI" w:hAnsi="Segoe UI" w:cs="Segoe UI"/>
          <w:sz w:val="18"/>
          <w:szCs w:val="18"/>
        </w:rPr>
      </w:pPr>
      <w:r>
        <w:rPr>
          <w:rStyle w:val="eop"/>
          <w:rFonts w:ascii="Cambria" w:eastAsiaTheme="majorEastAsia" w:hAnsi="Cambria" w:cs="Segoe UI"/>
          <w:sz w:val="36"/>
          <w:szCs w:val="36"/>
        </w:rPr>
        <w:t> </w:t>
      </w:r>
    </w:p>
    <w:p w14:paraId="35372CA3" w14:textId="77777777" w:rsidR="00B14FFD" w:rsidRDefault="00B14FFD" w:rsidP="35BD0857">
      <w:pPr>
        <w:pStyle w:val="Normaallaadveeb"/>
        <w:jc w:val="both"/>
        <w:rPr>
          <w:rFonts w:asciiTheme="minorHAnsi" w:hAnsiTheme="minorHAnsi"/>
          <w:b/>
          <w:bCs/>
          <w:color w:val="000000" w:themeColor="text1"/>
          <w:sz w:val="28"/>
          <w:szCs w:val="28"/>
        </w:rPr>
      </w:pPr>
    </w:p>
    <w:p w14:paraId="54FD43C5" w14:textId="77777777" w:rsidR="00B14FFD" w:rsidRDefault="00B14FFD" w:rsidP="35BD0857">
      <w:pPr>
        <w:pStyle w:val="Normaallaadveeb"/>
        <w:jc w:val="both"/>
        <w:rPr>
          <w:rFonts w:asciiTheme="minorHAnsi" w:hAnsiTheme="minorHAnsi"/>
          <w:b/>
          <w:bCs/>
          <w:color w:val="000000" w:themeColor="text1"/>
          <w:sz w:val="28"/>
          <w:szCs w:val="28"/>
        </w:rPr>
      </w:pPr>
    </w:p>
    <w:p w14:paraId="3AC8777C" w14:textId="6C74B8B6" w:rsidR="00D92B85" w:rsidRPr="0060434A" w:rsidRDefault="6464C0D7" w:rsidP="4919EC1B">
      <w:pPr>
        <w:pStyle w:val="Normaallaadveeb"/>
        <w:jc w:val="center"/>
        <w:rPr>
          <w:rFonts w:asciiTheme="minorHAnsi" w:hAnsiTheme="minorHAnsi"/>
          <w:b/>
          <w:bCs/>
          <w:color w:val="000000" w:themeColor="text1"/>
          <w:sz w:val="40"/>
          <w:szCs w:val="40"/>
        </w:rPr>
      </w:pPr>
      <w:r w:rsidRPr="4919EC1B">
        <w:rPr>
          <w:rFonts w:asciiTheme="minorHAnsi" w:hAnsiTheme="minorHAnsi"/>
          <w:b/>
          <w:bCs/>
          <w:color w:val="000000" w:themeColor="text1"/>
          <w:sz w:val="40"/>
          <w:szCs w:val="40"/>
        </w:rPr>
        <w:t>KESKKON</w:t>
      </w:r>
      <w:r w:rsidR="3215EE1C" w:rsidRPr="4919EC1B">
        <w:rPr>
          <w:rFonts w:asciiTheme="minorHAnsi" w:hAnsiTheme="minorHAnsi"/>
          <w:b/>
          <w:bCs/>
          <w:color w:val="000000" w:themeColor="text1"/>
          <w:sz w:val="40"/>
          <w:szCs w:val="40"/>
        </w:rPr>
        <w:t>N</w:t>
      </w:r>
      <w:r w:rsidRPr="4919EC1B">
        <w:rPr>
          <w:rFonts w:asciiTheme="minorHAnsi" w:hAnsiTheme="minorHAnsi"/>
          <w:b/>
          <w:bCs/>
          <w:color w:val="000000" w:themeColor="text1"/>
          <w:sz w:val="40"/>
          <w:szCs w:val="40"/>
        </w:rPr>
        <w:t xml:space="preserve">AMÕJU STRATEEGILINE EELHINDAMINE </w:t>
      </w:r>
    </w:p>
    <w:p w14:paraId="5145788F" w14:textId="40C93D53" w:rsidR="00D94A7F" w:rsidRPr="009F7156" w:rsidRDefault="00227752" w:rsidP="00D94A7F">
      <w:pPr>
        <w:pStyle w:val="Normaallaadveeb"/>
        <w:jc w:val="center"/>
        <w:rPr>
          <w:rFonts w:asciiTheme="minorHAnsi" w:hAnsiTheme="minorHAnsi"/>
          <w:color w:val="000000" w:themeColor="text1"/>
          <w:sz w:val="28"/>
          <w:szCs w:val="28"/>
        </w:rPr>
      </w:pPr>
      <w:r w:rsidRPr="009F7156">
        <w:rPr>
          <w:rFonts w:asciiTheme="minorHAnsi" w:hAnsiTheme="minorHAnsi"/>
          <w:color w:val="000000" w:themeColor="text1"/>
          <w:sz w:val="28"/>
          <w:szCs w:val="28"/>
        </w:rPr>
        <w:t xml:space="preserve">Keskkonnamõju hindamise ja keskkonnajuhtimissüsteemi seaduse </w:t>
      </w:r>
      <w:r w:rsidR="009F7156" w:rsidRPr="009F7156">
        <w:rPr>
          <w:rFonts w:asciiTheme="minorHAnsi" w:hAnsiTheme="minorHAnsi"/>
          <w:color w:val="000000" w:themeColor="text1"/>
          <w:sz w:val="28"/>
          <w:szCs w:val="28"/>
        </w:rPr>
        <w:t>§ 33 lg 2 p1 alusel</w:t>
      </w:r>
    </w:p>
    <w:p w14:paraId="285E8DB0" w14:textId="77777777" w:rsidR="00B14FFD" w:rsidRDefault="00B14FFD" w:rsidP="35BD0857">
      <w:pPr>
        <w:pStyle w:val="Normaallaadveeb"/>
        <w:jc w:val="both"/>
        <w:rPr>
          <w:rFonts w:asciiTheme="minorHAnsi" w:hAnsiTheme="minorHAnsi"/>
          <w:b/>
          <w:bCs/>
          <w:color w:val="000000" w:themeColor="text1"/>
          <w:sz w:val="28"/>
          <w:szCs w:val="28"/>
        </w:rPr>
      </w:pPr>
    </w:p>
    <w:p w14:paraId="7BFA07B3" w14:textId="38F3A855" w:rsidR="00B14FFD" w:rsidRDefault="00B14FFD" w:rsidP="35BD0857">
      <w:pPr>
        <w:pStyle w:val="Normaallaadveeb"/>
        <w:jc w:val="both"/>
        <w:rPr>
          <w:rFonts w:asciiTheme="minorHAnsi" w:hAnsiTheme="minorHAnsi"/>
          <w:b/>
          <w:bCs/>
          <w:color w:val="000000"/>
          <w:sz w:val="28"/>
          <w:szCs w:val="28"/>
        </w:rPr>
      </w:pPr>
    </w:p>
    <w:p w14:paraId="51DA39C3" w14:textId="77777777" w:rsidR="001D7743" w:rsidRDefault="001D7743" w:rsidP="35BD0857">
      <w:pPr>
        <w:pStyle w:val="Normaallaadveeb"/>
        <w:jc w:val="both"/>
        <w:rPr>
          <w:rFonts w:asciiTheme="minorHAnsi" w:hAnsiTheme="minorHAnsi"/>
          <w:b/>
          <w:bCs/>
          <w:color w:val="000000"/>
          <w:sz w:val="28"/>
          <w:szCs w:val="28"/>
        </w:rPr>
      </w:pPr>
    </w:p>
    <w:p w14:paraId="1DFED193" w14:textId="77777777" w:rsidR="001D7743" w:rsidRDefault="001D7743" w:rsidP="35BD0857">
      <w:pPr>
        <w:pStyle w:val="Normaallaadveeb"/>
        <w:jc w:val="both"/>
        <w:rPr>
          <w:rFonts w:asciiTheme="minorHAnsi" w:hAnsiTheme="minorHAnsi"/>
          <w:b/>
          <w:bCs/>
          <w:color w:val="000000"/>
          <w:sz w:val="28"/>
          <w:szCs w:val="28"/>
        </w:rPr>
      </w:pPr>
    </w:p>
    <w:p w14:paraId="3F0B8344" w14:textId="77777777" w:rsidR="001D7743" w:rsidRDefault="001D7743" w:rsidP="35BD0857">
      <w:pPr>
        <w:pStyle w:val="Normaallaadveeb"/>
        <w:jc w:val="both"/>
        <w:rPr>
          <w:rFonts w:asciiTheme="minorHAnsi" w:hAnsiTheme="minorHAnsi"/>
          <w:b/>
          <w:bCs/>
          <w:color w:val="000000"/>
          <w:sz w:val="28"/>
          <w:szCs w:val="28"/>
        </w:rPr>
      </w:pPr>
    </w:p>
    <w:p w14:paraId="1BB4580C" w14:textId="77777777" w:rsidR="001D7743" w:rsidRDefault="001D7743" w:rsidP="35BD0857">
      <w:pPr>
        <w:pStyle w:val="Normaallaadveeb"/>
        <w:jc w:val="both"/>
        <w:rPr>
          <w:rFonts w:asciiTheme="minorHAnsi" w:hAnsiTheme="minorHAnsi"/>
          <w:b/>
          <w:bCs/>
          <w:color w:val="000000"/>
          <w:sz w:val="28"/>
          <w:szCs w:val="28"/>
        </w:rPr>
      </w:pPr>
    </w:p>
    <w:p w14:paraId="36D8D062" w14:textId="38993271" w:rsidR="001D7743" w:rsidRDefault="00A836F7" w:rsidP="49D88162">
      <w:pPr>
        <w:pStyle w:val="Normaallaadveeb"/>
        <w:jc w:val="both"/>
        <w:rPr>
          <w:rFonts w:asciiTheme="minorHAnsi" w:hAnsiTheme="minorHAnsi"/>
          <w:color w:val="000000"/>
          <w:sz w:val="28"/>
          <w:szCs w:val="28"/>
        </w:rPr>
      </w:pPr>
      <w:r w:rsidRPr="49D88162">
        <w:rPr>
          <w:rFonts w:asciiTheme="minorHAnsi" w:hAnsiTheme="minorHAnsi"/>
          <w:color w:val="000000" w:themeColor="text1"/>
          <w:sz w:val="28"/>
          <w:szCs w:val="28"/>
        </w:rPr>
        <w:t xml:space="preserve">Eesti, Tallinn </w:t>
      </w:r>
      <w:r w:rsidR="003F231B">
        <w:rPr>
          <w:rFonts w:asciiTheme="minorHAnsi" w:hAnsiTheme="minorHAnsi"/>
          <w:color w:val="000000" w:themeColor="text1"/>
          <w:sz w:val="28"/>
          <w:szCs w:val="28"/>
        </w:rPr>
        <w:t>11</w:t>
      </w:r>
      <w:r w:rsidR="00EA19B5" w:rsidRPr="49D88162">
        <w:rPr>
          <w:rFonts w:asciiTheme="minorHAnsi" w:hAnsiTheme="minorHAnsi"/>
          <w:color w:val="000000" w:themeColor="text1"/>
          <w:sz w:val="28"/>
          <w:szCs w:val="28"/>
        </w:rPr>
        <w:t>.1</w:t>
      </w:r>
      <w:r w:rsidR="0F6D8D53" w:rsidRPr="49D88162">
        <w:rPr>
          <w:rFonts w:asciiTheme="minorHAnsi" w:hAnsiTheme="minorHAnsi"/>
          <w:color w:val="000000" w:themeColor="text1"/>
          <w:sz w:val="28"/>
          <w:szCs w:val="28"/>
        </w:rPr>
        <w:t>1</w:t>
      </w:r>
      <w:r w:rsidR="00EA19B5" w:rsidRPr="49D88162">
        <w:rPr>
          <w:rFonts w:asciiTheme="minorHAnsi" w:hAnsiTheme="minorHAnsi"/>
          <w:color w:val="000000" w:themeColor="text1"/>
          <w:sz w:val="28"/>
          <w:szCs w:val="28"/>
        </w:rPr>
        <w:t>.2025</w:t>
      </w:r>
    </w:p>
    <w:sdt>
      <w:sdtPr>
        <w:rPr>
          <w:rFonts w:asciiTheme="minorHAnsi" w:eastAsiaTheme="minorEastAsia" w:hAnsiTheme="minorHAnsi" w:cstheme="minorBidi"/>
          <w:color w:val="auto"/>
          <w:kern w:val="2"/>
          <w:sz w:val="24"/>
          <w:szCs w:val="24"/>
          <w:lang w:eastAsia="en-US"/>
          <w14:ligatures w14:val="standardContextual"/>
        </w:rPr>
        <w:id w:val="1504483833"/>
        <w:docPartObj>
          <w:docPartGallery w:val="Table of Contents"/>
          <w:docPartUnique/>
        </w:docPartObj>
      </w:sdtPr>
      <w:sdtContent>
        <w:p w14:paraId="2B171412" w14:textId="424D8EEA" w:rsidR="007A457A" w:rsidRPr="00E43DB4" w:rsidRDefault="52C181E3">
          <w:pPr>
            <w:pStyle w:val="Sisukorrapealkiri"/>
            <w:rPr>
              <w:sz w:val="40"/>
              <w:szCs w:val="40"/>
            </w:rPr>
          </w:pPr>
          <w:r w:rsidRPr="4919EC1B">
            <w:rPr>
              <w:sz w:val="40"/>
              <w:szCs w:val="40"/>
            </w:rPr>
            <w:t>Sisukord</w:t>
          </w:r>
        </w:p>
        <w:p w14:paraId="24812472" w14:textId="723E168A" w:rsidR="00E663F3" w:rsidRDefault="2999F8CB">
          <w:pPr>
            <w:pStyle w:val="SK1"/>
            <w:tabs>
              <w:tab w:val="right" w:leader="dot" w:pos="9062"/>
            </w:tabs>
            <w:rPr>
              <w:rFonts w:eastAsiaTheme="minorEastAsia"/>
              <w:noProof/>
              <w:lang w:eastAsia="et-EE"/>
            </w:rPr>
          </w:pPr>
          <w:r>
            <w:fldChar w:fldCharType="begin"/>
          </w:r>
          <w:r>
            <w:instrText>TOC \o "1-3" \z \u \h</w:instrText>
          </w:r>
          <w:r>
            <w:fldChar w:fldCharType="separate"/>
          </w:r>
          <w:hyperlink w:anchor="_Toc213770827" w:history="1">
            <w:r w:rsidR="00E663F3" w:rsidRPr="00440E7D">
              <w:rPr>
                <w:rStyle w:val="Hperlink"/>
                <w:noProof/>
              </w:rPr>
              <w:t>Sissejuhatus</w:t>
            </w:r>
            <w:r w:rsidR="00E663F3">
              <w:rPr>
                <w:noProof/>
                <w:webHidden/>
              </w:rPr>
              <w:tab/>
            </w:r>
            <w:r w:rsidR="00E663F3">
              <w:rPr>
                <w:noProof/>
                <w:webHidden/>
              </w:rPr>
              <w:fldChar w:fldCharType="begin"/>
            </w:r>
            <w:r w:rsidR="00E663F3">
              <w:rPr>
                <w:noProof/>
                <w:webHidden/>
              </w:rPr>
              <w:instrText xml:space="preserve"> PAGEREF _Toc213770827 \h </w:instrText>
            </w:r>
            <w:r w:rsidR="00E663F3">
              <w:rPr>
                <w:noProof/>
                <w:webHidden/>
              </w:rPr>
            </w:r>
            <w:r w:rsidR="00E663F3">
              <w:rPr>
                <w:noProof/>
                <w:webHidden/>
              </w:rPr>
              <w:fldChar w:fldCharType="separate"/>
            </w:r>
            <w:r w:rsidR="00E663F3">
              <w:rPr>
                <w:noProof/>
                <w:webHidden/>
              </w:rPr>
              <w:t>4</w:t>
            </w:r>
            <w:r w:rsidR="00E663F3">
              <w:rPr>
                <w:noProof/>
                <w:webHidden/>
              </w:rPr>
              <w:fldChar w:fldCharType="end"/>
            </w:r>
          </w:hyperlink>
        </w:p>
        <w:p w14:paraId="095FE6A2" w14:textId="677DC421" w:rsidR="00E663F3" w:rsidRDefault="00E663F3">
          <w:pPr>
            <w:pStyle w:val="SK1"/>
            <w:tabs>
              <w:tab w:val="left" w:pos="440"/>
              <w:tab w:val="right" w:leader="dot" w:pos="9062"/>
            </w:tabs>
            <w:rPr>
              <w:rFonts w:eastAsiaTheme="minorEastAsia"/>
              <w:noProof/>
              <w:lang w:eastAsia="et-EE"/>
            </w:rPr>
          </w:pPr>
          <w:hyperlink w:anchor="_Toc213770828" w:history="1">
            <w:r w:rsidRPr="00440E7D">
              <w:rPr>
                <w:rStyle w:val="Hperlink"/>
                <w:noProof/>
              </w:rPr>
              <w:t>1.</w:t>
            </w:r>
            <w:r>
              <w:rPr>
                <w:rFonts w:eastAsiaTheme="minorEastAsia"/>
                <w:noProof/>
                <w:lang w:eastAsia="et-EE"/>
              </w:rPr>
              <w:tab/>
            </w:r>
            <w:r w:rsidRPr="00440E7D">
              <w:rPr>
                <w:rStyle w:val="Hperlink"/>
                <w:noProof/>
              </w:rPr>
              <w:t>Strateegilise planeerimisdokumendi ja kavandatava tegevuse lühikirjeldus</w:t>
            </w:r>
            <w:r>
              <w:rPr>
                <w:noProof/>
                <w:webHidden/>
              </w:rPr>
              <w:tab/>
            </w:r>
            <w:r>
              <w:rPr>
                <w:noProof/>
                <w:webHidden/>
              </w:rPr>
              <w:fldChar w:fldCharType="begin"/>
            </w:r>
            <w:r>
              <w:rPr>
                <w:noProof/>
                <w:webHidden/>
              </w:rPr>
              <w:instrText xml:space="preserve"> PAGEREF _Toc213770828 \h </w:instrText>
            </w:r>
            <w:r>
              <w:rPr>
                <w:noProof/>
                <w:webHidden/>
              </w:rPr>
            </w:r>
            <w:r>
              <w:rPr>
                <w:noProof/>
                <w:webHidden/>
              </w:rPr>
              <w:fldChar w:fldCharType="separate"/>
            </w:r>
            <w:r>
              <w:rPr>
                <w:noProof/>
                <w:webHidden/>
              </w:rPr>
              <w:t>4</w:t>
            </w:r>
            <w:r>
              <w:rPr>
                <w:noProof/>
                <w:webHidden/>
              </w:rPr>
              <w:fldChar w:fldCharType="end"/>
            </w:r>
          </w:hyperlink>
        </w:p>
        <w:p w14:paraId="3F1F97B0" w14:textId="6C9CD529" w:rsidR="00E663F3" w:rsidRDefault="00E663F3">
          <w:pPr>
            <w:pStyle w:val="SK1"/>
            <w:tabs>
              <w:tab w:val="left" w:pos="440"/>
              <w:tab w:val="right" w:leader="dot" w:pos="9062"/>
            </w:tabs>
            <w:rPr>
              <w:rFonts w:eastAsiaTheme="minorEastAsia"/>
              <w:noProof/>
              <w:lang w:eastAsia="et-EE"/>
            </w:rPr>
          </w:pPr>
          <w:hyperlink w:anchor="_Toc213770829" w:history="1">
            <w:r w:rsidRPr="00440E7D">
              <w:rPr>
                <w:rStyle w:val="Hperlink"/>
                <w:noProof/>
              </w:rPr>
              <w:t>2.</w:t>
            </w:r>
            <w:r>
              <w:rPr>
                <w:rFonts w:eastAsiaTheme="minorEastAsia"/>
                <w:noProof/>
                <w:lang w:eastAsia="et-EE"/>
              </w:rPr>
              <w:tab/>
            </w:r>
            <w:r w:rsidRPr="00440E7D">
              <w:rPr>
                <w:rStyle w:val="Hperlink"/>
                <w:noProof/>
              </w:rPr>
              <w:t>Seotus teiste strateegiliste planeerimisdokumentidega</w:t>
            </w:r>
            <w:r>
              <w:rPr>
                <w:noProof/>
                <w:webHidden/>
              </w:rPr>
              <w:tab/>
            </w:r>
            <w:r>
              <w:rPr>
                <w:noProof/>
                <w:webHidden/>
              </w:rPr>
              <w:fldChar w:fldCharType="begin"/>
            </w:r>
            <w:r>
              <w:rPr>
                <w:noProof/>
                <w:webHidden/>
              </w:rPr>
              <w:instrText xml:space="preserve"> PAGEREF _Toc213770829 \h </w:instrText>
            </w:r>
            <w:r>
              <w:rPr>
                <w:noProof/>
                <w:webHidden/>
              </w:rPr>
            </w:r>
            <w:r>
              <w:rPr>
                <w:noProof/>
                <w:webHidden/>
              </w:rPr>
              <w:fldChar w:fldCharType="separate"/>
            </w:r>
            <w:r>
              <w:rPr>
                <w:noProof/>
                <w:webHidden/>
              </w:rPr>
              <w:t>7</w:t>
            </w:r>
            <w:r>
              <w:rPr>
                <w:noProof/>
                <w:webHidden/>
              </w:rPr>
              <w:fldChar w:fldCharType="end"/>
            </w:r>
          </w:hyperlink>
        </w:p>
        <w:p w14:paraId="3A0B15AD" w14:textId="3F77D1D7" w:rsidR="00E663F3" w:rsidRDefault="00E663F3">
          <w:pPr>
            <w:pStyle w:val="SK1"/>
            <w:tabs>
              <w:tab w:val="left" w:pos="440"/>
              <w:tab w:val="right" w:leader="dot" w:pos="9062"/>
            </w:tabs>
            <w:rPr>
              <w:rFonts w:eastAsiaTheme="minorEastAsia"/>
              <w:noProof/>
              <w:lang w:eastAsia="et-EE"/>
            </w:rPr>
          </w:pPr>
          <w:hyperlink w:anchor="_Toc213770830" w:history="1">
            <w:r w:rsidRPr="00440E7D">
              <w:rPr>
                <w:rStyle w:val="Hperlink"/>
                <w:noProof/>
              </w:rPr>
              <w:t>3.</w:t>
            </w:r>
            <w:r>
              <w:rPr>
                <w:rFonts w:eastAsiaTheme="minorEastAsia"/>
                <w:noProof/>
                <w:lang w:eastAsia="et-EE"/>
              </w:rPr>
              <w:tab/>
            </w:r>
            <w:r w:rsidRPr="00440E7D">
              <w:rPr>
                <w:rStyle w:val="Hperlink"/>
                <w:noProof/>
              </w:rPr>
              <w:t>Mõjutatava keskkonna kirjeldus ja tegevustega eeldatavalt kaasnev mõju</w:t>
            </w:r>
            <w:r>
              <w:rPr>
                <w:noProof/>
                <w:webHidden/>
              </w:rPr>
              <w:tab/>
            </w:r>
            <w:r>
              <w:rPr>
                <w:noProof/>
                <w:webHidden/>
              </w:rPr>
              <w:fldChar w:fldCharType="begin"/>
            </w:r>
            <w:r>
              <w:rPr>
                <w:noProof/>
                <w:webHidden/>
              </w:rPr>
              <w:instrText xml:space="preserve"> PAGEREF _Toc213770830 \h </w:instrText>
            </w:r>
            <w:r>
              <w:rPr>
                <w:noProof/>
                <w:webHidden/>
              </w:rPr>
            </w:r>
            <w:r>
              <w:rPr>
                <w:noProof/>
                <w:webHidden/>
              </w:rPr>
              <w:fldChar w:fldCharType="separate"/>
            </w:r>
            <w:r>
              <w:rPr>
                <w:noProof/>
                <w:webHidden/>
              </w:rPr>
              <w:t>8</w:t>
            </w:r>
            <w:r>
              <w:rPr>
                <w:noProof/>
                <w:webHidden/>
              </w:rPr>
              <w:fldChar w:fldCharType="end"/>
            </w:r>
          </w:hyperlink>
        </w:p>
        <w:p w14:paraId="564B6669" w14:textId="6120A1FE" w:rsidR="00E663F3" w:rsidRDefault="00E663F3">
          <w:pPr>
            <w:pStyle w:val="SK2"/>
            <w:tabs>
              <w:tab w:val="right" w:leader="dot" w:pos="9062"/>
            </w:tabs>
            <w:rPr>
              <w:rFonts w:eastAsiaTheme="minorEastAsia"/>
              <w:noProof/>
              <w:lang w:eastAsia="et-EE"/>
            </w:rPr>
          </w:pPr>
          <w:hyperlink w:anchor="_Toc213770831" w:history="1">
            <w:r w:rsidRPr="00440E7D">
              <w:rPr>
                <w:rStyle w:val="Hperlink"/>
                <w:noProof/>
              </w:rPr>
              <w:t>3.1 Kaitsetööstuspark</w:t>
            </w:r>
            <w:r>
              <w:rPr>
                <w:noProof/>
                <w:webHidden/>
              </w:rPr>
              <w:tab/>
            </w:r>
            <w:r>
              <w:rPr>
                <w:noProof/>
                <w:webHidden/>
              </w:rPr>
              <w:fldChar w:fldCharType="begin"/>
            </w:r>
            <w:r>
              <w:rPr>
                <w:noProof/>
                <w:webHidden/>
              </w:rPr>
              <w:instrText xml:space="preserve"> PAGEREF _Toc213770831 \h </w:instrText>
            </w:r>
            <w:r>
              <w:rPr>
                <w:noProof/>
                <w:webHidden/>
              </w:rPr>
            </w:r>
            <w:r>
              <w:rPr>
                <w:noProof/>
                <w:webHidden/>
              </w:rPr>
              <w:fldChar w:fldCharType="separate"/>
            </w:r>
            <w:r>
              <w:rPr>
                <w:noProof/>
                <w:webHidden/>
              </w:rPr>
              <w:t>9</w:t>
            </w:r>
            <w:r>
              <w:rPr>
                <w:noProof/>
                <w:webHidden/>
              </w:rPr>
              <w:fldChar w:fldCharType="end"/>
            </w:r>
          </w:hyperlink>
        </w:p>
        <w:p w14:paraId="25A4BECF" w14:textId="08EC19FB" w:rsidR="00E663F3" w:rsidRDefault="00E663F3">
          <w:pPr>
            <w:pStyle w:val="SK2"/>
            <w:tabs>
              <w:tab w:val="right" w:leader="dot" w:pos="9062"/>
            </w:tabs>
            <w:rPr>
              <w:rFonts w:eastAsiaTheme="minorEastAsia"/>
              <w:noProof/>
              <w:lang w:eastAsia="et-EE"/>
            </w:rPr>
          </w:pPr>
          <w:hyperlink w:anchor="_Toc213770832" w:history="1">
            <w:r w:rsidRPr="00440E7D">
              <w:rPr>
                <w:rStyle w:val="Hperlink"/>
                <w:rFonts w:eastAsia="Cambria"/>
                <w:noProof/>
              </w:rPr>
              <w:t>3.2 Sõjaväelise liikuvuse investeeringud (TEN-T maanteede, raudteede ehitus ja rekonstrueerimine)</w:t>
            </w:r>
            <w:r>
              <w:rPr>
                <w:noProof/>
                <w:webHidden/>
              </w:rPr>
              <w:tab/>
            </w:r>
            <w:r>
              <w:rPr>
                <w:noProof/>
                <w:webHidden/>
              </w:rPr>
              <w:fldChar w:fldCharType="begin"/>
            </w:r>
            <w:r>
              <w:rPr>
                <w:noProof/>
                <w:webHidden/>
              </w:rPr>
              <w:instrText xml:space="preserve"> PAGEREF _Toc213770832 \h </w:instrText>
            </w:r>
            <w:r>
              <w:rPr>
                <w:noProof/>
                <w:webHidden/>
              </w:rPr>
            </w:r>
            <w:r>
              <w:rPr>
                <w:noProof/>
                <w:webHidden/>
              </w:rPr>
              <w:fldChar w:fldCharType="separate"/>
            </w:r>
            <w:r>
              <w:rPr>
                <w:noProof/>
                <w:webHidden/>
              </w:rPr>
              <w:t>10</w:t>
            </w:r>
            <w:r>
              <w:rPr>
                <w:noProof/>
                <w:webHidden/>
              </w:rPr>
              <w:fldChar w:fldCharType="end"/>
            </w:r>
          </w:hyperlink>
        </w:p>
        <w:p w14:paraId="3C38DDEC" w14:textId="69EB6408" w:rsidR="00E663F3" w:rsidRDefault="00E663F3">
          <w:pPr>
            <w:pStyle w:val="SK3"/>
            <w:tabs>
              <w:tab w:val="right" w:leader="dot" w:pos="9062"/>
            </w:tabs>
            <w:rPr>
              <w:rFonts w:eastAsiaTheme="minorEastAsia"/>
              <w:noProof/>
              <w:lang w:eastAsia="et-EE"/>
            </w:rPr>
          </w:pPr>
          <w:hyperlink w:anchor="_Toc213770833" w:history="1">
            <w:r w:rsidRPr="00440E7D">
              <w:rPr>
                <w:rStyle w:val="Hperlink"/>
                <w:noProof/>
              </w:rPr>
              <w:t>3.2.1. Rail Balticu Soodevahe depoo</w:t>
            </w:r>
            <w:r>
              <w:rPr>
                <w:noProof/>
                <w:webHidden/>
              </w:rPr>
              <w:tab/>
            </w:r>
            <w:r>
              <w:rPr>
                <w:noProof/>
                <w:webHidden/>
              </w:rPr>
              <w:fldChar w:fldCharType="begin"/>
            </w:r>
            <w:r>
              <w:rPr>
                <w:noProof/>
                <w:webHidden/>
              </w:rPr>
              <w:instrText xml:space="preserve"> PAGEREF _Toc213770833 \h </w:instrText>
            </w:r>
            <w:r>
              <w:rPr>
                <w:noProof/>
                <w:webHidden/>
              </w:rPr>
            </w:r>
            <w:r>
              <w:rPr>
                <w:noProof/>
                <w:webHidden/>
              </w:rPr>
              <w:fldChar w:fldCharType="separate"/>
            </w:r>
            <w:r>
              <w:rPr>
                <w:noProof/>
                <w:webHidden/>
              </w:rPr>
              <w:t>10</w:t>
            </w:r>
            <w:r>
              <w:rPr>
                <w:noProof/>
                <w:webHidden/>
              </w:rPr>
              <w:fldChar w:fldCharType="end"/>
            </w:r>
          </w:hyperlink>
        </w:p>
        <w:p w14:paraId="6CA66E97" w14:textId="17156A01" w:rsidR="00E663F3" w:rsidRDefault="00E663F3">
          <w:pPr>
            <w:pStyle w:val="SK3"/>
            <w:tabs>
              <w:tab w:val="right" w:leader="dot" w:pos="9062"/>
            </w:tabs>
            <w:rPr>
              <w:rFonts w:eastAsiaTheme="minorEastAsia"/>
              <w:noProof/>
              <w:lang w:eastAsia="et-EE"/>
            </w:rPr>
          </w:pPr>
          <w:hyperlink w:anchor="_Toc213770834" w:history="1">
            <w:r w:rsidRPr="00440E7D">
              <w:rPr>
                <w:rStyle w:val="Hperlink"/>
                <w:noProof/>
              </w:rPr>
              <w:t>3.2.2. Riigitee 4, Tallinna-Pärnu-Ikla riigimaantee km 62,2–78,8 Päädeva-Konuvere teelõik</w:t>
            </w:r>
            <w:r>
              <w:rPr>
                <w:noProof/>
                <w:webHidden/>
              </w:rPr>
              <w:tab/>
            </w:r>
            <w:r>
              <w:rPr>
                <w:noProof/>
                <w:webHidden/>
              </w:rPr>
              <w:fldChar w:fldCharType="begin"/>
            </w:r>
            <w:r>
              <w:rPr>
                <w:noProof/>
                <w:webHidden/>
              </w:rPr>
              <w:instrText xml:space="preserve"> PAGEREF _Toc213770834 \h </w:instrText>
            </w:r>
            <w:r>
              <w:rPr>
                <w:noProof/>
                <w:webHidden/>
              </w:rPr>
            </w:r>
            <w:r>
              <w:rPr>
                <w:noProof/>
                <w:webHidden/>
              </w:rPr>
              <w:fldChar w:fldCharType="separate"/>
            </w:r>
            <w:r>
              <w:rPr>
                <w:noProof/>
                <w:webHidden/>
              </w:rPr>
              <w:t>11</w:t>
            </w:r>
            <w:r>
              <w:rPr>
                <w:noProof/>
                <w:webHidden/>
              </w:rPr>
              <w:fldChar w:fldCharType="end"/>
            </w:r>
          </w:hyperlink>
        </w:p>
        <w:p w14:paraId="47ED781D" w14:textId="5F44F491" w:rsidR="00E663F3" w:rsidRDefault="00E663F3">
          <w:pPr>
            <w:pStyle w:val="SK3"/>
            <w:tabs>
              <w:tab w:val="right" w:leader="dot" w:pos="9062"/>
            </w:tabs>
            <w:rPr>
              <w:rFonts w:eastAsiaTheme="minorEastAsia"/>
              <w:noProof/>
              <w:lang w:eastAsia="et-EE"/>
            </w:rPr>
          </w:pPr>
          <w:hyperlink w:anchor="_Toc213770835" w:history="1">
            <w:r w:rsidRPr="00440E7D">
              <w:rPr>
                <w:rStyle w:val="Hperlink"/>
                <w:noProof/>
              </w:rPr>
              <w:t>3.2.3. Riigitee 4, Tallinna-Pärnu-Ikla km 78,8–99,0 Konuvere - Pärnu-Jaagupi lõik</w:t>
            </w:r>
            <w:r>
              <w:rPr>
                <w:noProof/>
                <w:webHidden/>
              </w:rPr>
              <w:tab/>
            </w:r>
            <w:r>
              <w:rPr>
                <w:noProof/>
                <w:webHidden/>
              </w:rPr>
              <w:fldChar w:fldCharType="begin"/>
            </w:r>
            <w:r>
              <w:rPr>
                <w:noProof/>
                <w:webHidden/>
              </w:rPr>
              <w:instrText xml:space="preserve"> PAGEREF _Toc213770835 \h </w:instrText>
            </w:r>
            <w:r>
              <w:rPr>
                <w:noProof/>
                <w:webHidden/>
              </w:rPr>
            </w:r>
            <w:r>
              <w:rPr>
                <w:noProof/>
                <w:webHidden/>
              </w:rPr>
              <w:fldChar w:fldCharType="separate"/>
            </w:r>
            <w:r>
              <w:rPr>
                <w:noProof/>
                <w:webHidden/>
              </w:rPr>
              <w:t>12</w:t>
            </w:r>
            <w:r>
              <w:rPr>
                <w:noProof/>
                <w:webHidden/>
              </w:rPr>
              <w:fldChar w:fldCharType="end"/>
            </w:r>
          </w:hyperlink>
        </w:p>
        <w:p w14:paraId="7C25C1AE" w14:textId="596BB793" w:rsidR="00E663F3" w:rsidRDefault="00E663F3">
          <w:pPr>
            <w:pStyle w:val="SK3"/>
            <w:tabs>
              <w:tab w:val="right" w:leader="dot" w:pos="9062"/>
            </w:tabs>
            <w:rPr>
              <w:rFonts w:eastAsiaTheme="minorEastAsia"/>
              <w:noProof/>
              <w:lang w:eastAsia="et-EE"/>
            </w:rPr>
          </w:pPr>
          <w:hyperlink w:anchor="_Toc213770836" w:history="1">
            <w:r w:rsidRPr="00440E7D">
              <w:rPr>
                <w:rStyle w:val="Hperlink"/>
                <w:noProof/>
              </w:rPr>
              <w:t>3.2.4. Riigitee 2, Tallinna-Tartu-Võru-Luhamaa km 87,5–108,1 Mäo-Imavere lõik</w:t>
            </w:r>
            <w:r>
              <w:rPr>
                <w:noProof/>
                <w:webHidden/>
              </w:rPr>
              <w:tab/>
            </w:r>
            <w:r>
              <w:rPr>
                <w:noProof/>
                <w:webHidden/>
              </w:rPr>
              <w:fldChar w:fldCharType="begin"/>
            </w:r>
            <w:r>
              <w:rPr>
                <w:noProof/>
                <w:webHidden/>
              </w:rPr>
              <w:instrText xml:space="preserve"> PAGEREF _Toc213770836 \h </w:instrText>
            </w:r>
            <w:r>
              <w:rPr>
                <w:noProof/>
                <w:webHidden/>
              </w:rPr>
            </w:r>
            <w:r>
              <w:rPr>
                <w:noProof/>
                <w:webHidden/>
              </w:rPr>
              <w:fldChar w:fldCharType="separate"/>
            </w:r>
            <w:r>
              <w:rPr>
                <w:noProof/>
                <w:webHidden/>
              </w:rPr>
              <w:t>13</w:t>
            </w:r>
            <w:r>
              <w:rPr>
                <w:noProof/>
                <w:webHidden/>
              </w:rPr>
              <w:fldChar w:fldCharType="end"/>
            </w:r>
          </w:hyperlink>
        </w:p>
        <w:p w14:paraId="4F84258C" w14:textId="686E0CD9" w:rsidR="00E663F3" w:rsidRDefault="00E663F3">
          <w:pPr>
            <w:pStyle w:val="SK2"/>
            <w:tabs>
              <w:tab w:val="right" w:leader="dot" w:pos="9062"/>
            </w:tabs>
            <w:rPr>
              <w:rFonts w:eastAsiaTheme="minorEastAsia"/>
              <w:noProof/>
              <w:lang w:eastAsia="et-EE"/>
            </w:rPr>
          </w:pPr>
          <w:hyperlink w:anchor="_Toc213770837" w:history="1">
            <w:r w:rsidRPr="00440E7D">
              <w:rPr>
                <w:rStyle w:val="Hperlink"/>
                <w:rFonts w:eastAsia="Cambria"/>
                <w:noProof/>
              </w:rPr>
              <w:t>3.3 Sõjaväelinnak</w:t>
            </w:r>
            <w:r>
              <w:rPr>
                <w:noProof/>
                <w:webHidden/>
              </w:rPr>
              <w:tab/>
            </w:r>
            <w:r>
              <w:rPr>
                <w:noProof/>
                <w:webHidden/>
              </w:rPr>
              <w:fldChar w:fldCharType="begin"/>
            </w:r>
            <w:r>
              <w:rPr>
                <w:noProof/>
                <w:webHidden/>
              </w:rPr>
              <w:instrText xml:space="preserve"> PAGEREF _Toc213770837 \h </w:instrText>
            </w:r>
            <w:r>
              <w:rPr>
                <w:noProof/>
                <w:webHidden/>
              </w:rPr>
            </w:r>
            <w:r>
              <w:rPr>
                <w:noProof/>
                <w:webHidden/>
              </w:rPr>
              <w:fldChar w:fldCharType="separate"/>
            </w:r>
            <w:r>
              <w:rPr>
                <w:noProof/>
                <w:webHidden/>
              </w:rPr>
              <w:t>15</w:t>
            </w:r>
            <w:r>
              <w:rPr>
                <w:noProof/>
                <w:webHidden/>
              </w:rPr>
              <w:fldChar w:fldCharType="end"/>
            </w:r>
          </w:hyperlink>
        </w:p>
        <w:p w14:paraId="1BA15716" w14:textId="6CC43182" w:rsidR="00E663F3" w:rsidRDefault="00E663F3">
          <w:pPr>
            <w:pStyle w:val="SK2"/>
            <w:tabs>
              <w:tab w:val="right" w:leader="dot" w:pos="9062"/>
            </w:tabs>
            <w:rPr>
              <w:rFonts w:eastAsiaTheme="minorEastAsia"/>
              <w:noProof/>
              <w:lang w:eastAsia="et-EE"/>
            </w:rPr>
          </w:pPr>
          <w:hyperlink w:anchor="_Toc213770838" w:history="1">
            <w:r w:rsidRPr="00440E7D">
              <w:rPr>
                <w:rStyle w:val="Hperlink"/>
                <w:noProof/>
                <w:shd w:val="clear" w:color="auto" w:fill="FFFFFF"/>
              </w:rPr>
              <w:t>3.4 Kaitseettevõtte tootearendusprogramm</w:t>
            </w:r>
            <w:r>
              <w:rPr>
                <w:noProof/>
                <w:webHidden/>
              </w:rPr>
              <w:tab/>
            </w:r>
            <w:r>
              <w:rPr>
                <w:noProof/>
                <w:webHidden/>
              </w:rPr>
              <w:fldChar w:fldCharType="begin"/>
            </w:r>
            <w:r>
              <w:rPr>
                <w:noProof/>
                <w:webHidden/>
              </w:rPr>
              <w:instrText xml:space="preserve"> PAGEREF _Toc213770838 \h </w:instrText>
            </w:r>
            <w:r>
              <w:rPr>
                <w:noProof/>
                <w:webHidden/>
              </w:rPr>
            </w:r>
            <w:r>
              <w:rPr>
                <w:noProof/>
                <w:webHidden/>
              </w:rPr>
              <w:fldChar w:fldCharType="separate"/>
            </w:r>
            <w:r>
              <w:rPr>
                <w:noProof/>
                <w:webHidden/>
              </w:rPr>
              <w:t>15</w:t>
            </w:r>
            <w:r>
              <w:rPr>
                <w:noProof/>
                <w:webHidden/>
              </w:rPr>
              <w:fldChar w:fldCharType="end"/>
            </w:r>
          </w:hyperlink>
        </w:p>
        <w:p w14:paraId="179697B3" w14:textId="150779D9" w:rsidR="00E663F3" w:rsidRDefault="00E663F3">
          <w:pPr>
            <w:pStyle w:val="SK2"/>
            <w:tabs>
              <w:tab w:val="right" w:leader="dot" w:pos="9062"/>
            </w:tabs>
            <w:rPr>
              <w:rFonts w:eastAsiaTheme="minorEastAsia"/>
              <w:noProof/>
              <w:lang w:eastAsia="et-EE"/>
            </w:rPr>
          </w:pPr>
          <w:hyperlink w:anchor="_Toc213770839" w:history="1">
            <w:r w:rsidRPr="00440E7D">
              <w:rPr>
                <w:rStyle w:val="Hperlink"/>
                <w:noProof/>
              </w:rPr>
              <w:t>3.5 Kaitsetehnoloogia testimisvõimekuse loomine ja riigikaitset toetava tehisaru võimekuse arendamine</w:t>
            </w:r>
            <w:r>
              <w:rPr>
                <w:noProof/>
                <w:webHidden/>
              </w:rPr>
              <w:tab/>
            </w:r>
            <w:r>
              <w:rPr>
                <w:noProof/>
                <w:webHidden/>
              </w:rPr>
              <w:fldChar w:fldCharType="begin"/>
            </w:r>
            <w:r>
              <w:rPr>
                <w:noProof/>
                <w:webHidden/>
              </w:rPr>
              <w:instrText xml:space="preserve"> PAGEREF _Toc213770839 \h </w:instrText>
            </w:r>
            <w:r>
              <w:rPr>
                <w:noProof/>
                <w:webHidden/>
              </w:rPr>
            </w:r>
            <w:r>
              <w:rPr>
                <w:noProof/>
                <w:webHidden/>
              </w:rPr>
              <w:fldChar w:fldCharType="separate"/>
            </w:r>
            <w:r>
              <w:rPr>
                <w:noProof/>
                <w:webHidden/>
              </w:rPr>
              <w:t>15</w:t>
            </w:r>
            <w:r>
              <w:rPr>
                <w:noProof/>
                <w:webHidden/>
              </w:rPr>
              <w:fldChar w:fldCharType="end"/>
            </w:r>
          </w:hyperlink>
        </w:p>
        <w:p w14:paraId="0746640E" w14:textId="0286F928" w:rsidR="00E663F3" w:rsidRDefault="00E663F3">
          <w:pPr>
            <w:pStyle w:val="SK1"/>
            <w:tabs>
              <w:tab w:val="right" w:leader="dot" w:pos="9062"/>
            </w:tabs>
            <w:rPr>
              <w:rFonts w:eastAsiaTheme="minorEastAsia"/>
              <w:noProof/>
              <w:lang w:eastAsia="et-EE"/>
            </w:rPr>
          </w:pPr>
          <w:hyperlink w:anchor="_Toc213770840" w:history="1">
            <w:r w:rsidRPr="00440E7D">
              <w:rPr>
                <w:rStyle w:val="Hperlink"/>
                <w:noProof/>
              </w:rPr>
              <w:t>Asjaomaste asutuste seisukohad</w:t>
            </w:r>
            <w:r>
              <w:rPr>
                <w:noProof/>
                <w:webHidden/>
              </w:rPr>
              <w:tab/>
            </w:r>
            <w:r>
              <w:rPr>
                <w:noProof/>
                <w:webHidden/>
              </w:rPr>
              <w:fldChar w:fldCharType="begin"/>
            </w:r>
            <w:r>
              <w:rPr>
                <w:noProof/>
                <w:webHidden/>
              </w:rPr>
              <w:instrText xml:space="preserve"> PAGEREF _Toc213770840 \h </w:instrText>
            </w:r>
            <w:r>
              <w:rPr>
                <w:noProof/>
                <w:webHidden/>
              </w:rPr>
            </w:r>
            <w:r>
              <w:rPr>
                <w:noProof/>
                <w:webHidden/>
              </w:rPr>
              <w:fldChar w:fldCharType="separate"/>
            </w:r>
            <w:r>
              <w:rPr>
                <w:noProof/>
                <w:webHidden/>
              </w:rPr>
              <w:t>16</w:t>
            </w:r>
            <w:r>
              <w:rPr>
                <w:noProof/>
                <w:webHidden/>
              </w:rPr>
              <w:fldChar w:fldCharType="end"/>
            </w:r>
          </w:hyperlink>
        </w:p>
        <w:p w14:paraId="32791F24" w14:textId="1DA84535" w:rsidR="00E663F3" w:rsidRDefault="00E663F3">
          <w:pPr>
            <w:pStyle w:val="SK1"/>
            <w:tabs>
              <w:tab w:val="right" w:leader="dot" w:pos="9062"/>
            </w:tabs>
            <w:rPr>
              <w:rFonts w:eastAsiaTheme="minorEastAsia"/>
              <w:noProof/>
              <w:lang w:eastAsia="et-EE"/>
            </w:rPr>
          </w:pPr>
          <w:hyperlink w:anchor="_Toc213770841" w:history="1">
            <w:r w:rsidRPr="00440E7D">
              <w:rPr>
                <w:rStyle w:val="Hperlink"/>
                <w:noProof/>
              </w:rPr>
              <w:t>Kokkuvõte</w:t>
            </w:r>
            <w:r>
              <w:rPr>
                <w:noProof/>
                <w:webHidden/>
              </w:rPr>
              <w:tab/>
            </w:r>
            <w:r>
              <w:rPr>
                <w:noProof/>
                <w:webHidden/>
              </w:rPr>
              <w:fldChar w:fldCharType="begin"/>
            </w:r>
            <w:r>
              <w:rPr>
                <w:noProof/>
                <w:webHidden/>
              </w:rPr>
              <w:instrText xml:space="preserve"> PAGEREF _Toc213770841 \h </w:instrText>
            </w:r>
            <w:r>
              <w:rPr>
                <w:noProof/>
                <w:webHidden/>
              </w:rPr>
            </w:r>
            <w:r>
              <w:rPr>
                <w:noProof/>
                <w:webHidden/>
              </w:rPr>
              <w:fldChar w:fldCharType="separate"/>
            </w:r>
            <w:r>
              <w:rPr>
                <w:noProof/>
                <w:webHidden/>
              </w:rPr>
              <w:t>16</w:t>
            </w:r>
            <w:r>
              <w:rPr>
                <w:noProof/>
                <w:webHidden/>
              </w:rPr>
              <w:fldChar w:fldCharType="end"/>
            </w:r>
          </w:hyperlink>
        </w:p>
        <w:p w14:paraId="55165CDB" w14:textId="18ABDDF1" w:rsidR="2999F8CB" w:rsidRDefault="2999F8CB" w:rsidP="00784F6D">
          <w:pPr>
            <w:pStyle w:val="SK1"/>
            <w:tabs>
              <w:tab w:val="right" w:leader="dot" w:pos="9060"/>
            </w:tabs>
            <w:rPr>
              <w:rStyle w:val="Hperlink"/>
            </w:rPr>
          </w:pPr>
          <w:r>
            <w:fldChar w:fldCharType="end"/>
          </w:r>
        </w:p>
      </w:sdtContent>
    </w:sdt>
    <w:p w14:paraId="2F69CCEF" w14:textId="70E795A8" w:rsidR="007A457A" w:rsidRDefault="007A457A"/>
    <w:p w14:paraId="77AFBD88" w14:textId="77777777" w:rsidR="007A457A" w:rsidRPr="00EA19B5" w:rsidRDefault="007A457A" w:rsidP="35BD0857">
      <w:pPr>
        <w:pStyle w:val="Normaallaadveeb"/>
        <w:jc w:val="both"/>
        <w:rPr>
          <w:rFonts w:asciiTheme="minorHAnsi" w:hAnsiTheme="minorHAnsi"/>
          <w:color w:val="000000"/>
          <w:sz w:val="28"/>
          <w:szCs w:val="28"/>
        </w:rPr>
      </w:pPr>
    </w:p>
    <w:p w14:paraId="342BEED4" w14:textId="77777777" w:rsidR="00113830" w:rsidRDefault="00113830">
      <w:pPr>
        <w:rPr>
          <w:rFonts w:asciiTheme="majorHAnsi" w:eastAsiaTheme="majorEastAsia" w:hAnsiTheme="majorHAnsi" w:cstheme="majorBidi"/>
          <w:color w:val="0F4761" w:themeColor="accent1" w:themeShade="BF"/>
          <w:sz w:val="40"/>
          <w:szCs w:val="40"/>
        </w:rPr>
      </w:pPr>
      <w:r>
        <w:br w:type="page"/>
      </w:r>
    </w:p>
    <w:p w14:paraId="546EEC0B" w14:textId="72D017BF" w:rsidR="00F2648F" w:rsidRPr="00BC4C6D" w:rsidRDefault="187A6C5B" w:rsidP="00BC4C6D">
      <w:pPr>
        <w:pStyle w:val="Pealkiri1"/>
      </w:pPr>
      <w:bookmarkStart w:id="0" w:name="_Toc871360435"/>
      <w:bookmarkStart w:id="1" w:name="_Toc213770827"/>
      <w:r>
        <w:lastRenderedPageBreak/>
        <w:t>Sissejuhatus</w:t>
      </w:r>
      <w:bookmarkEnd w:id="0"/>
      <w:bookmarkEnd w:id="1"/>
    </w:p>
    <w:p w14:paraId="0CB33BE0" w14:textId="36ADA67A" w:rsidR="00192EE9" w:rsidRPr="00454C4A" w:rsidRDefault="008B56C8" w:rsidP="57D05787">
      <w:pPr>
        <w:pStyle w:val="Normaallaadveeb"/>
        <w:jc w:val="both"/>
        <w:rPr>
          <w:rStyle w:val="eop"/>
          <w:rFonts w:asciiTheme="minorHAnsi" w:eastAsiaTheme="majorEastAsia" w:hAnsiTheme="minorHAnsi"/>
          <w:color w:val="000000"/>
          <w:shd w:val="clear" w:color="auto" w:fill="FFFFFF"/>
        </w:rPr>
      </w:pPr>
      <w:r w:rsidRPr="57D05787">
        <w:rPr>
          <w:rStyle w:val="eop"/>
          <w:rFonts w:asciiTheme="minorHAnsi" w:eastAsiaTheme="majorEastAsia" w:hAnsiTheme="minorHAnsi"/>
          <w:color w:val="000000"/>
          <w:shd w:val="clear" w:color="auto" w:fill="FFFFFF"/>
        </w:rPr>
        <w:t xml:space="preserve">Rahandusministeerium on algatanud strateegilise planeerimisdokumendi </w:t>
      </w:r>
      <w:bookmarkStart w:id="2" w:name="_Hlk210649630"/>
      <w:r w:rsidRPr="57D05787">
        <w:rPr>
          <w:rStyle w:val="eop"/>
          <w:rFonts w:asciiTheme="minorHAnsi" w:eastAsiaTheme="majorEastAsia" w:hAnsiTheme="minorHAnsi"/>
          <w:color w:val="000000"/>
          <w:shd w:val="clear" w:color="auto" w:fill="FFFFFF"/>
        </w:rPr>
        <w:t>„Ühtekuuluvuspoliitika fondide rakenduskava perioodiks 2021</w:t>
      </w:r>
      <w:r w:rsidR="2D11D011" w:rsidRPr="57D05787">
        <w:rPr>
          <w:rFonts w:asciiTheme="minorHAnsi" w:hAnsiTheme="minorHAnsi"/>
        </w:rPr>
        <w:t>–</w:t>
      </w:r>
      <w:r w:rsidRPr="57D05787">
        <w:rPr>
          <w:rStyle w:val="eop"/>
          <w:rFonts w:asciiTheme="minorHAnsi" w:eastAsiaTheme="majorEastAsia" w:hAnsiTheme="minorHAnsi"/>
          <w:color w:val="000000"/>
          <w:shd w:val="clear" w:color="auto" w:fill="FFFFFF"/>
        </w:rPr>
        <w:t xml:space="preserve">2027“ </w:t>
      </w:r>
      <w:bookmarkEnd w:id="2"/>
      <w:r w:rsidRPr="57D05787">
        <w:rPr>
          <w:rStyle w:val="eop"/>
          <w:rFonts w:asciiTheme="minorHAnsi" w:eastAsiaTheme="majorEastAsia" w:hAnsiTheme="minorHAnsi"/>
          <w:color w:val="000000"/>
          <w:shd w:val="clear" w:color="auto" w:fill="FFFFFF"/>
        </w:rPr>
        <w:t xml:space="preserve">muutmise. </w:t>
      </w:r>
    </w:p>
    <w:p w14:paraId="2FA9DBA3" w14:textId="70D86183" w:rsidR="60913ED6" w:rsidRDefault="60913ED6" w:rsidP="57D05787">
      <w:pPr>
        <w:spacing w:beforeAutospacing="1" w:afterAutospacing="1" w:line="240" w:lineRule="auto"/>
        <w:jc w:val="both"/>
      </w:pPr>
      <w:r w:rsidRPr="57D05787">
        <w:rPr>
          <w:rStyle w:val="eop"/>
          <w:rFonts w:ascii="Aptos" w:eastAsia="Aptos" w:hAnsi="Aptos" w:cs="Aptos"/>
          <w:color w:val="000000" w:themeColor="text1"/>
        </w:rPr>
        <w:t xml:space="preserve">Rakenduskava muudatusega on lisatud kaitsetööstuspargi baastaristu rajamine, sõjaväelise liikuvuse investeeringud, sõjaväelinnaku rajamine, kaitseettevõtja tootearendusprogramm, kaitsetehnoloogia testimisvõimekuse loomine ja riigikaitset toetava tehisaru võimekuse arendamine. </w:t>
      </w:r>
      <w:r w:rsidRPr="57D05787">
        <w:t xml:space="preserve"> </w:t>
      </w:r>
    </w:p>
    <w:p w14:paraId="3F5BFCE2" w14:textId="095E2B39" w:rsidR="00AC10C2" w:rsidRPr="00454C4A" w:rsidRDefault="00AC10C2" w:rsidP="00AC10C2">
      <w:pPr>
        <w:pStyle w:val="Normaallaadveeb"/>
        <w:jc w:val="both"/>
        <w:rPr>
          <w:rFonts w:asciiTheme="minorHAnsi" w:hAnsiTheme="minorHAnsi"/>
          <w:color w:val="000000"/>
        </w:rPr>
      </w:pPr>
      <w:r w:rsidRPr="00454C4A">
        <w:rPr>
          <w:rFonts w:asciiTheme="minorHAnsi" w:hAnsiTheme="minorHAnsi"/>
          <w:color w:val="000000"/>
        </w:rPr>
        <w:t>Ühtekuuluvuspoliitika fondide rakenduskava muudatused kinnitab</w:t>
      </w:r>
      <w:r w:rsidR="00FD06BD">
        <w:rPr>
          <w:rFonts w:asciiTheme="minorHAnsi" w:hAnsiTheme="minorHAnsi"/>
          <w:color w:val="000000"/>
        </w:rPr>
        <w:t xml:space="preserve"> Ühtekuuluvuspoliitika seirekomisjon,</w:t>
      </w:r>
      <w:r w:rsidRPr="00454C4A">
        <w:rPr>
          <w:rFonts w:asciiTheme="minorHAnsi" w:hAnsiTheme="minorHAnsi"/>
          <w:color w:val="000000"/>
        </w:rPr>
        <w:t xml:space="preserve"> Vabariigi Valitsus ja kiidetakse heaks Euroopa Komisjoni otsusega. </w:t>
      </w:r>
    </w:p>
    <w:p w14:paraId="1860A459" w14:textId="6E9EAF9F" w:rsidR="006C4878" w:rsidRPr="00454C4A" w:rsidRDefault="008B56C8" w:rsidP="531B038A">
      <w:pPr>
        <w:pStyle w:val="Normaallaadveeb"/>
        <w:jc w:val="both"/>
        <w:rPr>
          <w:rFonts w:asciiTheme="minorHAnsi" w:hAnsiTheme="minorHAnsi"/>
          <w:color w:val="000000"/>
        </w:rPr>
      </w:pPr>
      <w:r w:rsidRPr="00454C4A">
        <w:rPr>
          <w:rStyle w:val="eop"/>
          <w:rFonts w:asciiTheme="minorHAnsi" w:eastAsiaTheme="majorEastAsia" w:hAnsiTheme="minorHAnsi"/>
          <w:color w:val="000000"/>
          <w:shd w:val="clear" w:color="auto" w:fill="FFFFFF"/>
        </w:rPr>
        <w:t xml:space="preserve">Paralleelselt strateegilise planeerimisdokumendi muudatusprotsessiga koostati </w:t>
      </w:r>
      <w:r w:rsidR="00E4350B" w:rsidRPr="00454C4A">
        <w:rPr>
          <w:rStyle w:val="eop"/>
          <w:rFonts w:asciiTheme="minorHAnsi" w:eastAsiaTheme="majorEastAsia" w:hAnsiTheme="minorHAnsi"/>
          <w:color w:val="000000"/>
          <w:shd w:val="clear" w:color="auto" w:fill="FFFFFF"/>
        </w:rPr>
        <w:t xml:space="preserve">järgnev </w:t>
      </w:r>
      <w:r w:rsidRPr="00454C4A">
        <w:rPr>
          <w:rStyle w:val="eop"/>
          <w:rFonts w:asciiTheme="minorHAnsi" w:eastAsiaTheme="majorEastAsia" w:hAnsiTheme="minorHAnsi"/>
          <w:color w:val="000000"/>
          <w:shd w:val="clear" w:color="auto" w:fill="FFFFFF"/>
        </w:rPr>
        <w:t xml:space="preserve">keskkonnamõju strateegilise hindamise (edaspidi KSH) eelhinnang vastavalt Keskkonnamõju hindamise ja keskkonnajuhtimissüsteemi seaduse (edaspidi </w:t>
      </w:r>
      <w:proofErr w:type="spellStart"/>
      <w:r w:rsidRPr="00454C4A">
        <w:rPr>
          <w:rStyle w:val="eop"/>
          <w:rFonts w:asciiTheme="minorHAnsi" w:eastAsiaTheme="majorEastAsia" w:hAnsiTheme="minorHAnsi"/>
          <w:color w:val="000000"/>
          <w:shd w:val="clear" w:color="auto" w:fill="FFFFFF"/>
        </w:rPr>
        <w:t>KeHJS</w:t>
      </w:r>
      <w:proofErr w:type="spellEnd"/>
      <w:r w:rsidRPr="00454C4A">
        <w:rPr>
          <w:rStyle w:val="eop"/>
          <w:rFonts w:asciiTheme="minorHAnsi" w:eastAsiaTheme="majorEastAsia" w:hAnsiTheme="minorHAnsi"/>
          <w:color w:val="000000"/>
          <w:shd w:val="clear" w:color="auto" w:fill="FFFFFF"/>
        </w:rPr>
        <w:t>)</w:t>
      </w:r>
      <w:r w:rsidR="006C4878" w:rsidRPr="00454C4A">
        <w:rPr>
          <w:rStyle w:val="eop"/>
          <w:rFonts w:asciiTheme="minorHAnsi" w:eastAsiaTheme="majorEastAsia" w:hAnsiTheme="minorHAnsi"/>
          <w:color w:val="000000"/>
          <w:shd w:val="clear" w:color="auto" w:fill="FFFFFF"/>
        </w:rPr>
        <w:t xml:space="preserve"> </w:t>
      </w:r>
      <w:r w:rsidRPr="00454C4A">
        <w:rPr>
          <w:rFonts w:asciiTheme="minorHAnsi" w:hAnsiTheme="minorHAnsi"/>
          <w:color w:val="000000"/>
        </w:rPr>
        <w:t xml:space="preserve">§ 33 lg 2 p 1. </w:t>
      </w:r>
    </w:p>
    <w:p w14:paraId="699B2B83" w14:textId="27C73361" w:rsidR="00742D1B" w:rsidRPr="00454C4A" w:rsidRDefault="001B0177" w:rsidP="00742D1B">
      <w:pPr>
        <w:pStyle w:val="paragraph"/>
        <w:spacing w:before="0" w:after="0"/>
        <w:jc w:val="both"/>
        <w:textAlignment w:val="baseline"/>
        <w:rPr>
          <w:rFonts w:asciiTheme="minorHAnsi" w:hAnsiTheme="minorHAnsi" w:cs="Segoe UI"/>
        </w:rPr>
      </w:pPr>
      <w:r w:rsidRPr="00454C4A">
        <w:rPr>
          <w:rStyle w:val="normaltextrun"/>
          <w:rFonts w:asciiTheme="minorHAnsi" w:eastAsiaTheme="majorEastAsia" w:hAnsiTheme="minorHAnsi" w:cs="Segoe UI"/>
          <w:color w:val="000000"/>
        </w:rPr>
        <w:t>„Ühtekuuluvuspoliitika fondide rakenduskava perioodiks 2021</w:t>
      </w:r>
      <w:r w:rsidR="0FF2A42A" w:rsidRPr="2999F8CB">
        <w:rPr>
          <w:rFonts w:asciiTheme="minorHAnsi" w:hAnsiTheme="minorHAnsi"/>
        </w:rPr>
        <w:t>–</w:t>
      </w:r>
      <w:r w:rsidRPr="00454C4A">
        <w:rPr>
          <w:rStyle w:val="normaltextrun"/>
          <w:rFonts w:asciiTheme="minorHAnsi" w:eastAsiaTheme="majorEastAsia" w:hAnsiTheme="minorHAnsi" w:cs="Segoe UI"/>
          <w:color w:val="000000"/>
        </w:rPr>
        <w:t xml:space="preserve">2027“ esimesele tervikversioonile teostati KSH </w:t>
      </w:r>
      <w:proofErr w:type="spellStart"/>
      <w:r w:rsidR="000C2008" w:rsidRPr="00454C4A">
        <w:rPr>
          <w:rStyle w:val="normaltextrun"/>
          <w:rFonts w:asciiTheme="minorHAnsi" w:eastAsiaTheme="majorEastAsia" w:hAnsiTheme="minorHAnsi" w:cs="Segoe UI"/>
          <w:color w:val="000000"/>
        </w:rPr>
        <w:t>KeHJS</w:t>
      </w:r>
      <w:proofErr w:type="spellEnd"/>
      <w:r w:rsidR="000C2008" w:rsidRPr="00454C4A">
        <w:rPr>
          <w:rStyle w:val="normaltextrun"/>
          <w:rFonts w:asciiTheme="minorHAnsi" w:eastAsiaTheme="majorEastAsia" w:hAnsiTheme="minorHAnsi" w:cs="Segoe UI"/>
          <w:color w:val="000000"/>
        </w:rPr>
        <w:t xml:space="preserve"> </w:t>
      </w:r>
      <w:r w:rsidR="00742D1B" w:rsidRPr="00454C4A">
        <w:rPr>
          <w:rStyle w:val="normaltextrun"/>
          <w:rFonts w:asciiTheme="minorHAnsi" w:eastAsiaTheme="majorEastAsia" w:hAnsiTheme="minorHAnsi" w:cs="Segoe UI"/>
          <w:color w:val="000000"/>
        </w:rPr>
        <w:t>§ 33 lõike 1 ja § 35 lõigete 1 ja 2 alusel ning tulenevalt Euroopa Parlamendi ja Nõukogu direktiivist 2001/42/EÜ</w:t>
      </w:r>
      <w:r w:rsidR="000C2008" w:rsidRPr="00454C4A">
        <w:rPr>
          <w:rStyle w:val="normaltextrun"/>
          <w:rFonts w:asciiTheme="minorHAnsi" w:eastAsiaTheme="majorEastAsia" w:hAnsiTheme="minorHAnsi" w:cs="Segoe UI"/>
          <w:color w:val="000000"/>
        </w:rPr>
        <w:t xml:space="preserve">. </w:t>
      </w:r>
      <w:r w:rsidR="00742D1B" w:rsidRPr="00454C4A">
        <w:rPr>
          <w:rStyle w:val="normaltextrun"/>
          <w:rFonts w:asciiTheme="minorHAnsi" w:eastAsiaTheme="majorEastAsia" w:hAnsiTheme="minorHAnsi" w:cs="Segoe UI"/>
          <w:color w:val="000000"/>
        </w:rPr>
        <w:t xml:space="preserve"> </w:t>
      </w:r>
      <w:r w:rsidR="00B13A01" w:rsidRPr="00454C4A">
        <w:rPr>
          <w:rStyle w:val="normaltextrun"/>
          <w:rFonts w:asciiTheme="minorHAnsi" w:eastAsiaTheme="majorEastAsia" w:hAnsiTheme="minorHAnsi" w:cs="Segoe UI"/>
          <w:color w:val="000000"/>
        </w:rPr>
        <w:t xml:space="preserve">KSH </w:t>
      </w:r>
      <w:r w:rsidR="00742D1B" w:rsidRPr="00454C4A">
        <w:rPr>
          <w:rStyle w:val="normaltextrun"/>
          <w:rFonts w:asciiTheme="minorHAnsi" w:eastAsiaTheme="majorEastAsia" w:hAnsiTheme="minorHAnsi" w:cs="Segoe UI"/>
          <w:color w:val="000000"/>
        </w:rPr>
        <w:t>algatas rahandusminister</w:t>
      </w:r>
      <w:r w:rsidR="00742D1B" w:rsidRPr="00454C4A">
        <w:rPr>
          <w:rStyle w:val="normaltextrun"/>
          <w:rFonts w:asciiTheme="minorHAnsi" w:eastAsiaTheme="majorEastAsia" w:hAnsiTheme="minorHAnsi" w:cs="Segoe UI"/>
          <w:color w:val="000000"/>
          <w:shd w:val="clear" w:color="auto" w:fill="FFFFFF"/>
        </w:rPr>
        <w:t xml:space="preserve"> 2020. aasta 6. jaanuari käskkirjaga nr 1.1-4/1. KSH teostas OÜ </w:t>
      </w:r>
      <w:proofErr w:type="spellStart"/>
      <w:r w:rsidR="00742D1B" w:rsidRPr="00454C4A">
        <w:rPr>
          <w:rStyle w:val="normaltextrun"/>
          <w:rFonts w:asciiTheme="minorHAnsi" w:eastAsiaTheme="majorEastAsia" w:hAnsiTheme="minorHAnsi" w:cs="Segoe UI"/>
          <w:color w:val="000000"/>
          <w:shd w:val="clear" w:color="auto" w:fill="FFFFFF"/>
        </w:rPr>
        <w:t>Hendrikson&amp;Ko</w:t>
      </w:r>
      <w:proofErr w:type="spellEnd"/>
      <w:r w:rsidR="00742D1B" w:rsidRPr="00454C4A">
        <w:rPr>
          <w:rStyle w:val="normaltextrun"/>
          <w:rFonts w:asciiTheme="minorHAnsi" w:eastAsiaTheme="majorEastAsia" w:hAnsiTheme="minorHAnsi" w:cs="Segoe UI"/>
          <w:color w:val="000000"/>
          <w:shd w:val="clear" w:color="auto" w:fill="FFFFFF"/>
        </w:rPr>
        <w:t xml:space="preserve"> 28. mai 2020. a riigihanke (viitenumber 221890) tulemusel sõlmitud töövõtulepingu nr 1.9-1304-1 alusel. KSH aruanne tunnistati vastavaks 01.02.2022. a rahandusministri käskkirjaga nr 16.</w:t>
      </w:r>
      <w:r w:rsidR="00742D1B" w:rsidRPr="00454C4A">
        <w:rPr>
          <w:rStyle w:val="eop"/>
          <w:rFonts w:asciiTheme="minorHAnsi" w:eastAsiaTheme="majorEastAsia" w:hAnsiTheme="minorHAnsi" w:cs="Segoe UI"/>
          <w:color w:val="000000"/>
        </w:rPr>
        <w:t> </w:t>
      </w:r>
    </w:p>
    <w:p w14:paraId="00E12213" w14:textId="1C83CC8B" w:rsidR="00742D1B" w:rsidRPr="00454C4A" w:rsidRDefault="00742D1B" w:rsidP="00742D1B">
      <w:pPr>
        <w:pStyle w:val="paragraph"/>
        <w:spacing w:before="0" w:after="0"/>
        <w:jc w:val="both"/>
        <w:textAlignment w:val="baseline"/>
        <w:rPr>
          <w:rFonts w:asciiTheme="minorHAnsi" w:hAnsiTheme="minorHAnsi" w:cs="Segoe UI"/>
        </w:rPr>
      </w:pPr>
      <w:r w:rsidRPr="00454C4A">
        <w:rPr>
          <w:rStyle w:val="normaltextrun"/>
          <w:rFonts w:asciiTheme="minorHAnsi" w:eastAsiaTheme="majorEastAsia" w:hAnsiTheme="minorHAnsi" w:cs="Segoe UI"/>
          <w:color w:val="000000"/>
          <w:shd w:val="clear" w:color="auto" w:fill="FFFFFF"/>
        </w:rPr>
        <w:t>KSH ekspertrühm leidis, et „Perioodi 2021</w:t>
      </w:r>
      <w:r w:rsidR="0F2E35E5" w:rsidRPr="2999F8CB">
        <w:rPr>
          <w:rFonts w:asciiTheme="minorHAnsi" w:hAnsiTheme="minorHAnsi"/>
        </w:rPr>
        <w:t>–</w:t>
      </w:r>
      <w:r w:rsidRPr="00454C4A">
        <w:rPr>
          <w:rStyle w:val="normaltextrun"/>
          <w:rFonts w:asciiTheme="minorHAnsi" w:eastAsiaTheme="majorEastAsia" w:hAnsiTheme="minorHAnsi" w:cs="Segoe UI"/>
          <w:color w:val="000000"/>
          <w:shd w:val="clear" w:color="auto" w:fill="FFFFFF"/>
        </w:rPr>
        <w:t>2027 ühtekuuluvuspoliitika fondide rakenduskava ja partnerlusleppe“ rakendamisega kaasnevad mõjule on tervikuna eeldatavalt pigem soodsad ja nende dokumentide täpsusastmes ei seata erieesmärke ega kavandata meetmeid, mille rakendamisel oleks ette näha oluline ebasoodne keskkonnamõju. KSH ekspertrühm ei pidanud vajalikuks täiendavaid seire meetmeid keskkonnamõju hindamiseks ja minimeerimiseks.</w:t>
      </w:r>
      <w:r w:rsidRPr="00454C4A">
        <w:rPr>
          <w:rStyle w:val="eop"/>
          <w:rFonts w:asciiTheme="minorHAnsi" w:eastAsiaTheme="majorEastAsia" w:hAnsiTheme="minorHAnsi" w:cs="Segoe UI"/>
          <w:color w:val="000000"/>
        </w:rPr>
        <w:t> </w:t>
      </w:r>
    </w:p>
    <w:p w14:paraId="2B6FAB4E" w14:textId="3D573E66" w:rsidR="007A0921" w:rsidRPr="00BC4C6D" w:rsidRDefault="6A95CC78" w:rsidP="00C453AE">
      <w:pPr>
        <w:pStyle w:val="Pealkiri1"/>
        <w:numPr>
          <w:ilvl w:val="0"/>
          <w:numId w:val="14"/>
        </w:numPr>
      </w:pPr>
      <w:bookmarkStart w:id="3" w:name="_Toc156712110"/>
      <w:bookmarkStart w:id="4" w:name="_Toc213770828"/>
      <w:r>
        <w:t>Strateegilise planeerimisdokumendi ja kavandatava tegevuse lühikirjeldus</w:t>
      </w:r>
      <w:bookmarkEnd w:id="3"/>
      <w:bookmarkEnd w:id="4"/>
    </w:p>
    <w:p w14:paraId="6750F98F" w14:textId="77777777" w:rsidR="00551C73" w:rsidRDefault="00551C73" w:rsidP="35BD0857">
      <w:pPr>
        <w:widowControl w:val="0"/>
        <w:spacing w:after="0" w:line="240" w:lineRule="auto"/>
        <w:jc w:val="both"/>
        <w:rPr>
          <w:rFonts w:ascii="Cambria" w:eastAsia="Cambria" w:hAnsi="Cambria" w:cs="Cambria"/>
          <w:b/>
          <w:bCs/>
          <w:color w:val="0070C0"/>
          <w:sz w:val="22"/>
          <w:szCs w:val="22"/>
        </w:rPr>
      </w:pPr>
    </w:p>
    <w:p w14:paraId="6AF59C01" w14:textId="1A32E58F" w:rsidR="00551C73" w:rsidRPr="004611FF" w:rsidRDefault="0F3DD500" w:rsidP="35BD0857">
      <w:pPr>
        <w:widowControl w:val="0"/>
        <w:spacing w:after="0" w:line="240" w:lineRule="auto"/>
        <w:jc w:val="both"/>
        <w:rPr>
          <w:rStyle w:val="eop"/>
          <w:color w:val="000000"/>
          <w:shd w:val="clear" w:color="auto" w:fill="FFFFFF"/>
        </w:rPr>
      </w:pPr>
      <w:r w:rsidRPr="004611FF">
        <w:rPr>
          <w:rStyle w:val="normaltextrun"/>
          <w:color w:val="000000"/>
          <w:shd w:val="clear" w:color="auto" w:fill="FFFFFF"/>
        </w:rPr>
        <w:t>1. aprillil 2025. a avaldas Euroopa Komisjon Euroopa kaitsevõime tugevdamise “</w:t>
      </w:r>
      <w:proofErr w:type="spellStart"/>
      <w:r w:rsidRPr="004611FF">
        <w:rPr>
          <w:rStyle w:val="normaltextrun"/>
          <w:color w:val="000000"/>
          <w:shd w:val="clear" w:color="auto" w:fill="FFFFFF"/>
        </w:rPr>
        <w:t>ReArm</w:t>
      </w:r>
      <w:proofErr w:type="spellEnd"/>
      <w:r w:rsidRPr="004611FF">
        <w:rPr>
          <w:rStyle w:val="normaltextrun"/>
          <w:color w:val="000000"/>
          <w:shd w:val="clear" w:color="auto" w:fill="FFFFFF"/>
        </w:rPr>
        <w:t xml:space="preserve"> Europe” algatuse paketi ühe osana ettepanekud perioodi 2021–2027 Euroopa Liidu ühtekuuluvuspoliitika (ÜKP) fondide määruste muutmiseks seoses erimeetmetega strateegiliste probleemide lahendamiseks vaheülevaate raames. Eesmärgiga muuta ühtekuuluvuspoliitika rakendamist paindlikumaks, sh ajakohastades strateegilisi prioriteete ning lisades täiendavate ettemaksete, suurema Euroopa Liidu toetusmäära ja kulude abikõlblikkuse tähtaja pikendamise võimalusi. Määruste muudatused võeti vastu </w:t>
      </w:r>
      <w:r w:rsidRPr="004611FF">
        <w:rPr>
          <w:rStyle w:val="normaltextrun"/>
          <w:color w:val="000000"/>
          <w:shd w:val="clear" w:color="auto" w:fill="FFFFFF"/>
        </w:rPr>
        <w:lastRenderedPageBreak/>
        <w:t>18. septembril 2025. a.</w:t>
      </w:r>
      <w:r w:rsidR="00AE5989" w:rsidRPr="004611FF">
        <w:rPr>
          <w:rStyle w:val="Allmrkuseviide"/>
          <w:color w:val="000000"/>
          <w:shd w:val="clear" w:color="auto" w:fill="FFFFFF"/>
        </w:rPr>
        <w:footnoteReference w:id="1"/>
      </w:r>
      <w:r w:rsidRPr="004611FF">
        <w:rPr>
          <w:rStyle w:val="eop"/>
          <w:color w:val="000000"/>
          <w:shd w:val="clear" w:color="auto" w:fill="FFFFFF"/>
        </w:rPr>
        <w:t> </w:t>
      </w:r>
    </w:p>
    <w:p w14:paraId="33CBD83A" w14:textId="77777777" w:rsidR="007C727D" w:rsidRPr="004611FF" w:rsidRDefault="007C727D" w:rsidP="35BD0857">
      <w:pPr>
        <w:widowControl w:val="0"/>
        <w:spacing w:after="0" w:line="240" w:lineRule="auto"/>
        <w:jc w:val="both"/>
        <w:rPr>
          <w:rFonts w:eastAsia="Cambria" w:cs="Cambria"/>
          <w:b/>
          <w:bCs/>
          <w:color w:val="0070C0"/>
        </w:rPr>
      </w:pPr>
    </w:p>
    <w:p w14:paraId="4484F77A" w14:textId="78AD8AF8" w:rsidR="007C727D" w:rsidRPr="004611FF" w:rsidRDefault="007C727D" w:rsidP="35BD0857">
      <w:pPr>
        <w:widowControl w:val="0"/>
        <w:spacing w:after="0" w:line="240" w:lineRule="auto"/>
        <w:jc w:val="both"/>
        <w:rPr>
          <w:rFonts w:eastAsia="Cambria" w:cs="Cambria"/>
          <w:b/>
          <w:bCs/>
          <w:color w:val="0070C0"/>
        </w:rPr>
      </w:pPr>
      <w:r w:rsidRPr="004611FF">
        <w:rPr>
          <w:rStyle w:val="normaltextrun"/>
          <w:color w:val="000000"/>
          <w:shd w:val="clear" w:color="auto" w:fill="FFFFFF"/>
        </w:rPr>
        <w:t>Täpsemalt lisati Euroopa Parlamendi ja nõukogu määruse (EL) 2021/1058, mis käsitleb Euroopa Regionaalarengu Fondi ja Ühtekuuluvusfondi, artiklisse 3 poliitikaeesmärgi 1 alla uus erieesmärk „vii) tööstussuutlikkuse suurendamine kaitsevõime edendamiseks, seades esikohale kahesuguse kasutusega võimed“ ning poliitikaeesmärgi 3 alla uus erieesmärk „iii) kerkse kaitsetaristu arendamine, seades esikohale kahesuguse kasutuse, sealhulgas sõjaväelise liikuvuse edendamiseks liidus, ning tsiviilvalmisoleku suurendamine“</w:t>
      </w:r>
      <w:r w:rsidRPr="004611FF">
        <w:rPr>
          <w:rStyle w:val="tabchar"/>
          <w:rFonts w:cs="Calibri"/>
          <w:color w:val="000000"/>
          <w:shd w:val="clear" w:color="auto" w:fill="FFFFFF"/>
        </w:rPr>
        <w:tab/>
      </w:r>
      <w:r w:rsidRPr="004611FF">
        <w:rPr>
          <w:color w:val="000000"/>
          <w:shd w:val="clear" w:color="auto" w:fill="FFFFFF"/>
        </w:rPr>
        <w:br/>
      </w:r>
    </w:p>
    <w:p w14:paraId="37114A6E" w14:textId="43C0687D" w:rsidR="00C37CFC" w:rsidRPr="004611FF" w:rsidRDefault="00C37CFC" w:rsidP="35BD0857">
      <w:pPr>
        <w:widowControl w:val="0"/>
        <w:spacing w:after="0" w:line="240" w:lineRule="auto"/>
        <w:jc w:val="both"/>
        <w:rPr>
          <w:rFonts w:eastAsia="Cambria" w:cs="Cambria"/>
          <w:b/>
          <w:bCs/>
          <w:color w:val="0070C0"/>
        </w:rPr>
      </w:pPr>
      <w:r w:rsidRPr="004611FF">
        <w:rPr>
          <w:rStyle w:val="normaltextrun"/>
          <w:color w:val="000000"/>
          <w:shd w:val="clear" w:color="auto" w:fill="FFFFFF"/>
        </w:rPr>
        <w:t>Eesti peab äärmiselt oluliseks, et EL-i eelarve panustaks senisest enam kaitsevalmiduse tõstmisesse ning kaitsevõime tugevdamisse ning samuti seda, et EL-i idapoolsetele piirialadele on loodud täiendavad paindlikkused ning võimalused, arvestades nende piirkondade ainulaadseid julgeolekuprobleeme ja geopoliitilist tähtsus</w:t>
      </w:r>
      <w:r w:rsidR="00A21FA4" w:rsidRPr="004611FF">
        <w:rPr>
          <w:rStyle w:val="normaltextrun"/>
          <w:color w:val="000000"/>
          <w:shd w:val="clear" w:color="auto" w:fill="FFFFFF"/>
        </w:rPr>
        <w:t>t.</w:t>
      </w:r>
      <w:r w:rsidR="00A21FA4" w:rsidRPr="004611FF">
        <w:rPr>
          <w:rStyle w:val="Allmrkuseviide"/>
          <w:color w:val="000000"/>
          <w:shd w:val="clear" w:color="auto" w:fill="FFFFFF"/>
        </w:rPr>
        <w:footnoteReference w:id="2"/>
      </w:r>
    </w:p>
    <w:p w14:paraId="13CD8ACE" w14:textId="77777777" w:rsidR="00551C73" w:rsidRPr="004611FF" w:rsidRDefault="00551C73" w:rsidP="35BD0857">
      <w:pPr>
        <w:widowControl w:val="0"/>
        <w:spacing w:after="0" w:line="240" w:lineRule="auto"/>
        <w:jc w:val="both"/>
        <w:rPr>
          <w:rFonts w:eastAsia="Cambria" w:cs="Cambria"/>
          <w:b/>
          <w:bCs/>
          <w:color w:val="0070C0"/>
        </w:rPr>
      </w:pPr>
    </w:p>
    <w:p w14:paraId="20323E2F" w14:textId="6E14BC09" w:rsidR="00843F51" w:rsidRPr="004611FF" w:rsidRDefault="00843F51" w:rsidP="35BD0857">
      <w:pPr>
        <w:widowControl w:val="0"/>
        <w:spacing w:after="0" w:line="240" w:lineRule="auto"/>
        <w:jc w:val="both"/>
        <w:rPr>
          <w:rStyle w:val="eop"/>
          <w:color w:val="000000"/>
          <w:shd w:val="clear" w:color="auto" w:fill="FFFFFF"/>
        </w:rPr>
      </w:pPr>
      <w:r w:rsidRPr="004611FF">
        <w:rPr>
          <w:rStyle w:val="normaltextrun"/>
          <w:color w:val="000000"/>
          <w:shd w:val="clear" w:color="auto" w:fill="FFFFFF"/>
        </w:rPr>
        <w:t xml:space="preserve">Võimalusi ühtekuuluvuspoliitika fondides toetuse ümbersuunamiseks kaitsevõimekuse tugevdamiseks arutati põhjalikult valitsuskabineti nõupidamistel 2025. a mais-juunis ning täiendavaid otsuseid tehti veel ka sügiseses 2026. a riigieelarve ja 2026-2029 riigieelarve strateegia koostamise protsessis. Arutelude tulemusel esitasid ministeeriumid Rahandusministeeriumile ettepanekud rakenduskava eelarves </w:t>
      </w:r>
      <w:r w:rsidRPr="004611FF">
        <w:rPr>
          <w:rStyle w:val="normaltextrun"/>
          <w:b/>
          <w:bCs/>
          <w:color w:val="000000"/>
          <w:shd w:val="clear" w:color="auto" w:fill="FFFFFF"/>
        </w:rPr>
        <w:t>EL toetuse ümbersuunamiseks kogumahus 385,88 mln eurot</w:t>
      </w:r>
      <w:r w:rsidRPr="004611FF">
        <w:rPr>
          <w:rStyle w:val="superscript"/>
          <w:b/>
          <w:bCs/>
          <w:color w:val="000000"/>
          <w:shd w:val="clear" w:color="auto" w:fill="FFFFFF"/>
          <w:vertAlign w:val="superscript"/>
        </w:rPr>
        <w:t>7</w:t>
      </w:r>
      <w:r w:rsidRPr="004611FF">
        <w:rPr>
          <w:rStyle w:val="normaltextrun"/>
          <w:b/>
          <w:bCs/>
          <w:color w:val="000000"/>
          <w:shd w:val="clear" w:color="auto" w:fill="FFFFFF"/>
        </w:rPr>
        <w:t xml:space="preserve"> ehk 11,5% rakenduskava EL toetuse eelarvest, </w:t>
      </w:r>
      <w:r w:rsidRPr="004611FF">
        <w:rPr>
          <w:rStyle w:val="normaltextrun"/>
          <w:color w:val="000000"/>
          <w:shd w:val="clear" w:color="auto" w:fill="FFFFFF"/>
        </w:rPr>
        <w:t>et toetada uutes erieesmärkides Eesti kaitsevõimekuse tõstmist. Koos riikliku kaasfinantseeringu ja toetuse saajate omafinantseeringuga panustatakse kaitsevõimekuse tõstmisesse rakenduskava raames kokku 447,2 mln eurot. </w:t>
      </w:r>
      <w:r w:rsidRPr="004611FF">
        <w:rPr>
          <w:rStyle w:val="eop"/>
          <w:color w:val="000000"/>
          <w:shd w:val="clear" w:color="auto" w:fill="FFFFFF"/>
        </w:rPr>
        <w:t> </w:t>
      </w:r>
    </w:p>
    <w:p w14:paraId="610C8997" w14:textId="77777777" w:rsidR="008F2E4A" w:rsidRPr="004611FF" w:rsidRDefault="008F2E4A" w:rsidP="35BD0857">
      <w:pPr>
        <w:widowControl w:val="0"/>
        <w:spacing w:after="0" w:line="240" w:lineRule="auto"/>
        <w:jc w:val="both"/>
        <w:rPr>
          <w:rStyle w:val="eop"/>
          <w:color w:val="000000"/>
          <w:shd w:val="clear" w:color="auto" w:fill="FFFFFF"/>
        </w:rPr>
      </w:pPr>
    </w:p>
    <w:p w14:paraId="4D3D6C9D" w14:textId="77777777" w:rsidR="008F2E4A" w:rsidRPr="004611FF" w:rsidRDefault="008F2E4A" w:rsidP="008F2E4A">
      <w:pPr>
        <w:pStyle w:val="paragraph"/>
        <w:spacing w:before="0" w:beforeAutospacing="0" w:after="0" w:afterAutospacing="0"/>
        <w:jc w:val="both"/>
        <w:textAlignment w:val="baseline"/>
        <w:rPr>
          <w:rFonts w:asciiTheme="minorHAnsi" w:hAnsiTheme="minorHAnsi" w:cs="Segoe UI"/>
        </w:rPr>
      </w:pPr>
      <w:r w:rsidRPr="004611FF">
        <w:rPr>
          <w:rStyle w:val="normaltextrun"/>
          <w:rFonts w:asciiTheme="minorHAnsi" w:eastAsiaTheme="majorEastAsia" w:hAnsiTheme="minorHAnsi" w:cs="Segoe UI"/>
          <w:b/>
          <w:bCs/>
        </w:rPr>
        <w:t>Ümbertõsteteks võetakse rakenduskavas kasutusele kaks uut erieesmärki</w:t>
      </w:r>
      <w:r w:rsidRPr="004611FF">
        <w:rPr>
          <w:rStyle w:val="normaltextrun"/>
          <w:rFonts w:asciiTheme="minorHAnsi" w:eastAsiaTheme="majorEastAsia" w:hAnsiTheme="minorHAnsi" w:cs="Segoe UI"/>
        </w:rPr>
        <w:t xml:space="preserve"> järgmiselt:</w:t>
      </w:r>
      <w:r w:rsidRPr="004611FF">
        <w:rPr>
          <w:rStyle w:val="eop"/>
          <w:rFonts w:asciiTheme="minorHAnsi" w:eastAsiaTheme="majorEastAsia" w:hAnsiTheme="minorHAnsi" w:cs="Segoe UI"/>
        </w:rPr>
        <w:t> </w:t>
      </w:r>
    </w:p>
    <w:p w14:paraId="487C98D4" w14:textId="77777777" w:rsidR="008F2E4A" w:rsidRPr="004611FF" w:rsidRDefault="008F2E4A" w:rsidP="008F2E4A">
      <w:pPr>
        <w:pStyle w:val="paragraph"/>
        <w:numPr>
          <w:ilvl w:val="0"/>
          <w:numId w:val="12"/>
        </w:numPr>
        <w:spacing w:before="0" w:beforeAutospacing="0" w:after="0" w:afterAutospacing="0"/>
        <w:ind w:left="1080" w:firstLine="0"/>
        <w:jc w:val="both"/>
        <w:textAlignment w:val="baseline"/>
        <w:rPr>
          <w:rFonts w:asciiTheme="minorHAnsi" w:hAnsiTheme="minorHAnsi" w:cs="Segoe UI"/>
        </w:rPr>
      </w:pPr>
      <w:r w:rsidRPr="004611FF">
        <w:rPr>
          <w:rStyle w:val="normaltextrun"/>
          <w:rFonts w:asciiTheme="minorHAnsi" w:eastAsiaTheme="majorEastAsia" w:hAnsiTheme="minorHAnsi" w:cs="Segoe UI"/>
        </w:rPr>
        <w:t>Poliitikaeesmärk 1 „Nutikam Eesti“ all võetakse kasutusele erieesmärk „vii) tööstussuutlikkuse suurendamine kaitsevõime edendamiseks, seades esikohale kahesuguse kasutusega võimed“</w:t>
      </w:r>
      <w:r w:rsidRPr="004611FF">
        <w:rPr>
          <w:rStyle w:val="eop"/>
          <w:rFonts w:asciiTheme="minorHAnsi" w:eastAsiaTheme="majorEastAsia" w:hAnsiTheme="minorHAnsi" w:cs="Segoe UI"/>
        </w:rPr>
        <w:t> </w:t>
      </w:r>
    </w:p>
    <w:p w14:paraId="6EFFD607" w14:textId="77777777" w:rsidR="008F2E4A" w:rsidRPr="004611FF" w:rsidRDefault="008F2E4A" w:rsidP="008F2E4A">
      <w:pPr>
        <w:pStyle w:val="paragraph"/>
        <w:numPr>
          <w:ilvl w:val="0"/>
          <w:numId w:val="13"/>
        </w:numPr>
        <w:spacing w:before="0" w:beforeAutospacing="0" w:after="0" w:afterAutospacing="0"/>
        <w:ind w:left="1080" w:firstLine="0"/>
        <w:jc w:val="both"/>
        <w:textAlignment w:val="baseline"/>
        <w:rPr>
          <w:rFonts w:asciiTheme="minorHAnsi" w:hAnsiTheme="minorHAnsi" w:cs="Segoe UI"/>
        </w:rPr>
      </w:pPr>
      <w:r w:rsidRPr="004611FF">
        <w:rPr>
          <w:rStyle w:val="normaltextrun"/>
          <w:rFonts w:asciiTheme="minorHAnsi" w:eastAsiaTheme="majorEastAsia" w:hAnsiTheme="minorHAnsi" w:cs="Segoe UI"/>
        </w:rPr>
        <w:t>Poliitikaeesmärk 3 „Ühendatum Eesti“ all võetakse kasutusele erieesmärk „iii) kerkse kaitsetaristu arendamine, seades esikohale kahesuguse kasutuse, sealhulgas sõjaväelise liikuvuse edendamiseks liidus, ning tsiviilvalmisoleku suurendamine“. </w:t>
      </w:r>
      <w:r w:rsidRPr="004611FF">
        <w:rPr>
          <w:rStyle w:val="eop"/>
          <w:rFonts w:asciiTheme="minorHAnsi" w:eastAsiaTheme="majorEastAsia" w:hAnsiTheme="minorHAnsi" w:cs="Segoe UI"/>
        </w:rPr>
        <w:t> </w:t>
      </w:r>
    </w:p>
    <w:p w14:paraId="67C2C2A7" w14:textId="77777777" w:rsidR="008F2E4A" w:rsidRPr="004611FF" w:rsidRDefault="008F2E4A" w:rsidP="008F2E4A">
      <w:pPr>
        <w:pStyle w:val="paragraph"/>
        <w:spacing w:before="0" w:beforeAutospacing="0" w:after="0" w:afterAutospacing="0"/>
        <w:jc w:val="both"/>
        <w:textAlignment w:val="baseline"/>
        <w:rPr>
          <w:rFonts w:asciiTheme="minorHAnsi" w:hAnsiTheme="minorHAnsi" w:cs="Segoe UI"/>
        </w:rPr>
      </w:pPr>
      <w:r w:rsidRPr="004611FF">
        <w:rPr>
          <w:rStyle w:val="eop"/>
          <w:rFonts w:asciiTheme="minorHAnsi" w:eastAsiaTheme="majorEastAsia" w:hAnsiTheme="minorHAnsi" w:cs="Segoe UI"/>
        </w:rPr>
        <w:t> </w:t>
      </w:r>
    </w:p>
    <w:p w14:paraId="35B2611A" w14:textId="77777777" w:rsidR="008F2E4A" w:rsidRPr="004611FF" w:rsidRDefault="008F2E4A" w:rsidP="008F2E4A">
      <w:pPr>
        <w:pStyle w:val="paragraph"/>
        <w:spacing w:before="0" w:beforeAutospacing="0" w:after="0" w:afterAutospacing="0"/>
        <w:jc w:val="both"/>
        <w:textAlignment w:val="baseline"/>
        <w:rPr>
          <w:rFonts w:asciiTheme="minorHAnsi" w:hAnsiTheme="minorHAnsi" w:cs="Segoe UI"/>
        </w:rPr>
      </w:pPr>
      <w:r w:rsidRPr="004611FF">
        <w:rPr>
          <w:rStyle w:val="normaltextrun"/>
          <w:rFonts w:asciiTheme="minorHAnsi" w:eastAsiaTheme="majorEastAsia" w:hAnsiTheme="minorHAnsi" w:cs="Segoe UI"/>
        </w:rPr>
        <w:t>Uute erieesmärkidega koos lisandub struktuurivahendite rakendussüsteemi uus rakendusasutus Kaitseministeerium (KAM). </w:t>
      </w:r>
      <w:r w:rsidRPr="004611FF">
        <w:rPr>
          <w:rStyle w:val="eop"/>
          <w:rFonts w:asciiTheme="minorHAnsi" w:eastAsiaTheme="majorEastAsia" w:hAnsiTheme="minorHAnsi" w:cs="Segoe UI"/>
        </w:rPr>
        <w:t> </w:t>
      </w:r>
    </w:p>
    <w:p w14:paraId="1743F385" w14:textId="77777777" w:rsidR="008F2E4A" w:rsidRPr="004611FF" w:rsidRDefault="008F2E4A" w:rsidP="008F2E4A">
      <w:pPr>
        <w:pStyle w:val="paragraph"/>
        <w:spacing w:before="0" w:beforeAutospacing="0" w:after="0" w:afterAutospacing="0"/>
        <w:jc w:val="both"/>
        <w:textAlignment w:val="baseline"/>
        <w:rPr>
          <w:rFonts w:asciiTheme="minorHAnsi" w:hAnsiTheme="minorHAnsi" w:cs="Segoe UI"/>
        </w:rPr>
      </w:pPr>
      <w:r w:rsidRPr="004611FF">
        <w:rPr>
          <w:rStyle w:val="eop"/>
          <w:rFonts w:asciiTheme="minorHAnsi" w:eastAsiaTheme="majorEastAsia" w:hAnsiTheme="minorHAnsi" w:cs="Segoe UI"/>
        </w:rPr>
        <w:t> </w:t>
      </w:r>
    </w:p>
    <w:p w14:paraId="24E1FD53" w14:textId="77777777" w:rsidR="008F2E4A" w:rsidRPr="004611FF" w:rsidRDefault="008F2E4A" w:rsidP="008F2E4A">
      <w:pPr>
        <w:pStyle w:val="paragraph"/>
        <w:spacing w:before="0" w:beforeAutospacing="0" w:after="0" w:afterAutospacing="0"/>
        <w:jc w:val="both"/>
        <w:textAlignment w:val="baseline"/>
        <w:rPr>
          <w:rFonts w:asciiTheme="minorHAnsi" w:hAnsiTheme="minorHAnsi" w:cs="Segoe UI"/>
        </w:rPr>
      </w:pPr>
      <w:r w:rsidRPr="004611FF">
        <w:rPr>
          <w:rStyle w:val="normaltextrun"/>
          <w:rFonts w:asciiTheme="minorHAnsi" w:eastAsiaTheme="majorEastAsia" w:hAnsiTheme="minorHAnsi" w:cs="Segoe UI"/>
        </w:rPr>
        <w:t>Ülevaade uute erieesmärkide alla kavandatud tegevustest on esitatud allolevas tabelis. </w:t>
      </w:r>
      <w:r w:rsidRPr="004611FF">
        <w:rPr>
          <w:rStyle w:val="eop"/>
          <w:rFonts w:asciiTheme="minorHAnsi" w:eastAsiaTheme="majorEastAsia" w:hAnsiTheme="minorHAnsi" w:cs="Segoe UI"/>
        </w:rPr>
        <w:t> </w:t>
      </w:r>
    </w:p>
    <w:p w14:paraId="68904566" w14:textId="77777777" w:rsidR="008F2E4A" w:rsidRDefault="008F2E4A" w:rsidP="35BD0857">
      <w:pPr>
        <w:widowControl w:val="0"/>
        <w:spacing w:after="0" w:line="240" w:lineRule="auto"/>
        <w:jc w:val="both"/>
        <w:rPr>
          <w:rFonts w:ascii="Cambria" w:eastAsia="Cambria" w:hAnsi="Cambria" w:cs="Cambria"/>
          <w:b/>
          <w:bCs/>
          <w:color w:val="0070C0"/>
          <w:sz w:val="22"/>
          <w:szCs w:val="22"/>
        </w:rPr>
      </w:pPr>
    </w:p>
    <w:p w14:paraId="03C5A3DA" w14:textId="77777777" w:rsidR="00843F51" w:rsidRDefault="00843F51" w:rsidP="35BD0857">
      <w:pPr>
        <w:widowControl w:val="0"/>
        <w:spacing w:after="0" w:line="240" w:lineRule="auto"/>
        <w:jc w:val="both"/>
        <w:rPr>
          <w:rFonts w:ascii="Cambria" w:eastAsia="Cambria" w:hAnsi="Cambria" w:cs="Cambria"/>
          <w:b/>
          <w:bCs/>
          <w:color w:val="0070C0"/>
          <w:sz w:val="22"/>
          <w:szCs w:val="22"/>
        </w:rPr>
      </w:pPr>
    </w:p>
    <w:p w14:paraId="62B9DF94" w14:textId="6B6EC6CD" w:rsidR="0F030C1E" w:rsidRPr="004611FF" w:rsidRDefault="0F030C1E" w:rsidP="35BD0857">
      <w:pPr>
        <w:widowControl w:val="0"/>
        <w:spacing w:after="0" w:line="240" w:lineRule="auto"/>
        <w:jc w:val="both"/>
        <w:rPr>
          <w:rFonts w:eastAsia="Cambria" w:cs="Cambria"/>
          <w:color w:val="0070C0"/>
        </w:rPr>
      </w:pPr>
      <w:r w:rsidRPr="004611FF">
        <w:rPr>
          <w:rFonts w:eastAsia="Cambria" w:cs="Cambria"/>
          <w:b/>
          <w:bCs/>
          <w:color w:val="0070C0"/>
        </w:rPr>
        <w:t>Tabel 1. Kaitsevõime tõstmiseks rakenduskavasse lisatavad sekkumised</w:t>
      </w:r>
    </w:p>
    <w:p w14:paraId="00C012C2" w14:textId="02921941" w:rsidR="35BD0857" w:rsidRPr="004611FF" w:rsidRDefault="35BD0857" w:rsidP="35BD0857">
      <w:pPr>
        <w:widowControl w:val="0"/>
        <w:spacing w:after="0" w:line="240" w:lineRule="auto"/>
        <w:jc w:val="both"/>
        <w:rPr>
          <w:rFonts w:eastAsia="Cambria" w:cs="Cambria"/>
          <w:color w:val="0070C0"/>
        </w:rPr>
      </w:pPr>
    </w:p>
    <w:tbl>
      <w:tblPr>
        <w:tblW w:w="930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815"/>
        <w:gridCol w:w="1230"/>
        <w:gridCol w:w="1065"/>
        <w:gridCol w:w="5190"/>
      </w:tblGrid>
      <w:tr w:rsidR="35BD0857" w:rsidRPr="004611FF" w14:paraId="1847E743" w14:textId="77777777" w:rsidTr="7D29A2AD">
        <w:trPr>
          <w:trHeight w:val="300"/>
        </w:trPr>
        <w:tc>
          <w:tcPr>
            <w:tcW w:w="9300" w:type="dxa"/>
            <w:gridSpan w:val="4"/>
            <w:tcBorders>
              <w:top w:val="single" w:sz="6" w:space="0" w:color="auto"/>
              <w:left w:val="single" w:sz="6" w:space="0" w:color="auto"/>
              <w:bottom w:val="single" w:sz="6" w:space="0" w:color="auto"/>
              <w:right w:val="single" w:sz="6" w:space="0" w:color="auto"/>
            </w:tcBorders>
            <w:shd w:val="clear" w:color="auto" w:fill="DAE9F8"/>
            <w:tcMar>
              <w:left w:w="60" w:type="dxa"/>
              <w:right w:w="60" w:type="dxa"/>
            </w:tcMar>
            <w:vAlign w:val="bottom"/>
          </w:tcPr>
          <w:p w14:paraId="047D6724" w14:textId="01035232" w:rsidR="35BD0857" w:rsidRPr="004611FF" w:rsidRDefault="35BD0857" w:rsidP="35BD0857">
            <w:pPr>
              <w:widowControl w:val="0"/>
              <w:spacing w:after="0" w:line="240" w:lineRule="auto"/>
              <w:rPr>
                <w:rFonts w:eastAsia="Cambria" w:cs="Cambria"/>
                <w:sz w:val="20"/>
                <w:szCs w:val="20"/>
              </w:rPr>
            </w:pPr>
            <w:r w:rsidRPr="004611FF">
              <w:rPr>
                <w:rFonts w:eastAsia="Cambria" w:cs="Cambria"/>
                <w:b/>
                <w:bCs/>
                <w:sz w:val="20"/>
                <w:szCs w:val="20"/>
              </w:rPr>
              <w:t xml:space="preserve">Poliitikaeesmärk 1 „Nutikam Eesti“ erieesmärk </w:t>
            </w:r>
            <w:r w:rsidRPr="004611FF">
              <w:rPr>
                <w:rFonts w:eastAsia="Cambria" w:cs="Cambria"/>
                <w:b/>
                <w:bCs/>
                <w:color w:val="000000" w:themeColor="text1"/>
                <w:sz w:val="20"/>
                <w:szCs w:val="20"/>
              </w:rPr>
              <w:t xml:space="preserve">vii) Tööstussuutlikkuse suurendamine kaitsevõime </w:t>
            </w:r>
            <w:r w:rsidRPr="004611FF">
              <w:rPr>
                <w:rFonts w:eastAsia="Cambria" w:cs="Cambria"/>
                <w:b/>
                <w:bCs/>
                <w:color w:val="000000" w:themeColor="text1"/>
                <w:sz w:val="20"/>
                <w:szCs w:val="20"/>
              </w:rPr>
              <w:lastRenderedPageBreak/>
              <w:t xml:space="preserve">edendamiseks, seades esikohale kahesuguse </w:t>
            </w:r>
            <w:r w:rsidRPr="004611FF">
              <w:rPr>
                <w:rFonts w:eastAsia="Cambria" w:cs="Cambria"/>
                <w:b/>
                <w:bCs/>
                <w:sz w:val="20"/>
                <w:szCs w:val="20"/>
              </w:rPr>
              <w:t>kasutusega võimed</w:t>
            </w:r>
          </w:p>
        </w:tc>
      </w:tr>
      <w:tr w:rsidR="35BD0857" w:rsidRPr="004611FF" w14:paraId="5733539C" w14:textId="77777777" w:rsidTr="7D29A2AD">
        <w:trPr>
          <w:trHeight w:val="300"/>
        </w:trPr>
        <w:tc>
          <w:tcPr>
            <w:tcW w:w="1815" w:type="dxa"/>
            <w:tcBorders>
              <w:top w:val="single" w:sz="6" w:space="0" w:color="auto"/>
              <w:left w:val="single" w:sz="6" w:space="0" w:color="auto"/>
              <w:bottom w:val="single" w:sz="6" w:space="0" w:color="auto"/>
              <w:right w:val="single" w:sz="6" w:space="0" w:color="auto"/>
            </w:tcBorders>
            <w:shd w:val="clear" w:color="auto" w:fill="DAE9F8"/>
            <w:tcMar>
              <w:left w:w="60" w:type="dxa"/>
              <w:right w:w="60" w:type="dxa"/>
            </w:tcMar>
            <w:vAlign w:val="center"/>
          </w:tcPr>
          <w:p w14:paraId="61E2CED5" w14:textId="68B08930" w:rsidR="35BD0857" w:rsidRPr="004611FF" w:rsidRDefault="35BD0857" w:rsidP="35BD0857">
            <w:pPr>
              <w:widowControl w:val="0"/>
              <w:spacing w:after="0" w:line="240" w:lineRule="auto"/>
              <w:jc w:val="center"/>
              <w:rPr>
                <w:rFonts w:eastAsia="Cambria" w:cs="Cambria"/>
                <w:sz w:val="20"/>
                <w:szCs w:val="20"/>
              </w:rPr>
            </w:pPr>
            <w:r w:rsidRPr="004611FF">
              <w:rPr>
                <w:rFonts w:eastAsia="Cambria" w:cs="Cambria"/>
                <w:b/>
                <w:bCs/>
                <w:sz w:val="20"/>
                <w:szCs w:val="20"/>
              </w:rPr>
              <w:lastRenderedPageBreak/>
              <w:t>Sekkumine</w:t>
            </w:r>
          </w:p>
        </w:tc>
        <w:tc>
          <w:tcPr>
            <w:tcW w:w="1230" w:type="dxa"/>
            <w:tcBorders>
              <w:top w:val="single" w:sz="6" w:space="0" w:color="auto"/>
              <w:left w:val="single" w:sz="6" w:space="0" w:color="auto"/>
              <w:bottom w:val="single" w:sz="6" w:space="0" w:color="auto"/>
              <w:right w:val="single" w:sz="6" w:space="0" w:color="auto"/>
            </w:tcBorders>
            <w:shd w:val="clear" w:color="auto" w:fill="DAE9F8"/>
            <w:tcMar>
              <w:left w:w="60" w:type="dxa"/>
              <w:right w:w="60" w:type="dxa"/>
            </w:tcMar>
            <w:vAlign w:val="center"/>
          </w:tcPr>
          <w:p w14:paraId="4BDC4146" w14:textId="7515D13A" w:rsidR="35BD0857" w:rsidRPr="004611FF" w:rsidRDefault="35BD0857" w:rsidP="35BD0857">
            <w:pPr>
              <w:widowControl w:val="0"/>
              <w:spacing w:after="0" w:line="240" w:lineRule="auto"/>
              <w:jc w:val="center"/>
              <w:rPr>
                <w:rFonts w:eastAsia="Cambria" w:cs="Cambria"/>
                <w:sz w:val="20"/>
                <w:szCs w:val="20"/>
              </w:rPr>
            </w:pPr>
            <w:r w:rsidRPr="004611FF">
              <w:rPr>
                <w:rFonts w:eastAsia="Cambria" w:cs="Cambria"/>
                <w:b/>
                <w:bCs/>
                <w:sz w:val="20"/>
                <w:szCs w:val="20"/>
              </w:rPr>
              <w:t>EL toetuse eelarve</w:t>
            </w:r>
          </w:p>
          <w:p w14:paraId="5DC17651" w14:textId="0F43AB2C" w:rsidR="35BD0857" w:rsidRPr="004611FF" w:rsidRDefault="35BD0857" w:rsidP="35BD0857">
            <w:pPr>
              <w:widowControl w:val="0"/>
              <w:spacing w:after="0" w:line="240" w:lineRule="auto"/>
              <w:jc w:val="center"/>
              <w:rPr>
                <w:rFonts w:eastAsia="Cambria" w:cs="Cambria"/>
                <w:sz w:val="20"/>
                <w:szCs w:val="20"/>
              </w:rPr>
            </w:pPr>
            <w:r w:rsidRPr="004611FF">
              <w:rPr>
                <w:rFonts w:eastAsia="Cambria" w:cs="Cambria"/>
                <w:b/>
                <w:bCs/>
                <w:sz w:val="20"/>
                <w:szCs w:val="20"/>
              </w:rPr>
              <w:t>(mln eurot)</w:t>
            </w:r>
          </w:p>
        </w:tc>
        <w:tc>
          <w:tcPr>
            <w:tcW w:w="1065" w:type="dxa"/>
            <w:tcBorders>
              <w:top w:val="single" w:sz="6" w:space="0" w:color="auto"/>
              <w:left w:val="single" w:sz="6" w:space="0" w:color="auto"/>
              <w:bottom w:val="single" w:sz="6" w:space="0" w:color="auto"/>
              <w:right w:val="single" w:sz="6" w:space="0" w:color="auto"/>
            </w:tcBorders>
            <w:shd w:val="clear" w:color="auto" w:fill="DAE9F8"/>
            <w:tcMar>
              <w:left w:w="60" w:type="dxa"/>
              <w:right w:w="60" w:type="dxa"/>
            </w:tcMar>
            <w:vAlign w:val="center"/>
          </w:tcPr>
          <w:p w14:paraId="30CFF814" w14:textId="5EE5A208" w:rsidR="35BD0857" w:rsidRPr="004611FF" w:rsidRDefault="35BD0857" w:rsidP="35BD0857">
            <w:pPr>
              <w:widowControl w:val="0"/>
              <w:spacing w:after="0" w:line="240" w:lineRule="auto"/>
              <w:jc w:val="center"/>
              <w:rPr>
                <w:rFonts w:eastAsia="Cambria" w:cs="Cambria"/>
                <w:sz w:val="20"/>
                <w:szCs w:val="20"/>
              </w:rPr>
            </w:pPr>
            <w:r w:rsidRPr="004611FF">
              <w:rPr>
                <w:rFonts w:eastAsia="Cambria" w:cs="Cambria"/>
                <w:b/>
                <w:bCs/>
                <w:sz w:val="20"/>
                <w:szCs w:val="20"/>
              </w:rPr>
              <w:t>Rakendus-asutus</w:t>
            </w:r>
          </w:p>
        </w:tc>
        <w:tc>
          <w:tcPr>
            <w:tcW w:w="5190" w:type="dxa"/>
            <w:tcBorders>
              <w:top w:val="single" w:sz="6" w:space="0" w:color="auto"/>
              <w:left w:val="single" w:sz="6" w:space="0" w:color="auto"/>
              <w:bottom w:val="single" w:sz="6" w:space="0" w:color="auto"/>
              <w:right w:val="single" w:sz="6" w:space="0" w:color="auto"/>
            </w:tcBorders>
            <w:shd w:val="clear" w:color="auto" w:fill="DAE9F8"/>
            <w:tcMar>
              <w:left w:w="60" w:type="dxa"/>
              <w:right w:w="60" w:type="dxa"/>
            </w:tcMar>
            <w:vAlign w:val="center"/>
          </w:tcPr>
          <w:p w14:paraId="584A24E3" w14:textId="76049318" w:rsidR="35BD0857" w:rsidRPr="004611FF" w:rsidRDefault="35BD0857" w:rsidP="35BD0857">
            <w:pPr>
              <w:widowControl w:val="0"/>
              <w:spacing w:after="0" w:line="240" w:lineRule="auto"/>
              <w:jc w:val="center"/>
              <w:rPr>
                <w:rFonts w:eastAsia="Cambria" w:cs="Cambria"/>
                <w:color w:val="000000" w:themeColor="text1"/>
                <w:sz w:val="20"/>
                <w:szCs w:val="20"/>
              </w:rPr>
            </w:pPr>
            <w:r w:rsidRPr="004611FF">
              <w:rPr>
                <w:rFonts w:eastAsia="Cambria" w:cs="Cambria"/>
                <w:b/>
                <w:bCs/>
                <w:color w:val="000000" w:themeColor="text1"/>
                <w:sz w:val="20"/>
                <w:szCs w:val="20"/>
              </w:rPr>
              <w:t>Selgitus</w:t>
            </w:r>
          </w:p>
        </w:tc>
      </w:tr>
      <w:tr w:rsidR="35BD0857" w:rsidRPr="004611FF" w14:paraId="0CD2D588" w14:textId="77777777" w:rsidTr="7D29A2AD">
        <w:trPr>
          <w:trHeight w:val="300"/>
        </w:trPr>
        <w:tc>
          <w:tcPr>
            <w:tcW w:w="1815" w:type="dxa"/>
            <w:tcBorders>
              <w:top w:val="single" w:sz="6" w:space="0" w:color="auto"/>
              <w:left w:val="single" w:sz="6" w:space="0" w:color="auto"/>
              <w:bottom w:val="single" w:sz="6" w:space="0" w:color="auto"/>
              <w:right w:val="single" w:sz="6" w:space="0" w:color="auto"/>
            </w:tcBorders>
            <w:tcMar>
              <w:left w:w="60" w:type="dxa"/>
              <w:right w:w="60" w:type="dxa"/>
            </w:tcMar>
          </w:tcPr>
          <w:p w14:paraId="6E2E5665" w14:textId="7FDD103B" w:rsidR="35BD0857" w:rsidRPr="004611FF" w:rsidRDefault="35BD0857" w:rsidP="35BD0857">
            <w:pPr>
              <w:widowControl w:val="0"/>
              <w:spacing w:after="0" w:line="240" w:lineRule="auto"/>
              <w:jc w:val="both"/>
              <w:rPr>
                <w:rFonts w:eastAsia="Cambria" w:cs="Cambria"/>
                <w:color w:val="000000" w:themeColor="text1"/>
                <w:sz w:val="20"/>
                <w:szCs w:val="20"/>
              </w:rPr>
            </w:pPr>
            <w:r w:rsidRPr="004611FF">
              <w:rPr>
                <w:rFonts w:eastAsia="Cambria" w:cs="Cambria"/>
                <w:color w:val="000000" w:themeColor="text1"/>
                <w:sz w:val="20"/>
                <w:szCs w:val="20"/>
              </w:rPr>
              <w:t>Kaitsetööstuspargi baastaristu</w:t>
            </w:r>
          </w:p>
        </w:tc>
        <w:tc>
          <w:tcPr>
            <w:tcW w:w="1230" w:type="dxa"/>
            <w:tcBorders>
              <w:top w:val="single" w:sz="6" w:space="0" w:color="auto"/>
              <w:left w:val="single" w:sz="6" w:space="0" w:color="auto"/>
              <w:bottom w:val="single" w:sz="6" w:space="0" w:color="auto"/>
              <w:right w:val="single" w:sz="6" w:space="0" w:color="auto"/>
            </w:tcBorders>
            <w:tcMar>
              <w:left w:w="60" w:type="dxa"/>
              <w:right w:w="60" w:type="dxa"/>
            </w:tcMar>
          </w:tcPr>
          <w:p w14:paraId="6E52D76C" w14:textId="6E539A43" w:rsidR="35BD0857" w:rsidRPr="004611FF" w:rsidRDefault="35BD0857" w:rsidP="35BD0857">
            <w:pPr>
              <w:widowControl w:val="0"/>
              <w:spacing w:after="0" w:line="240" w:lineRule="auto"/>
              <w:jc w:val="both"/>
              <w:rPr>
                <w:rFonts w:eastAsia="Cambria" w:cs="Cambria"/>
                <w:color w:val="000000" w:themeColor="text1"/>
                <w:sz w:val="20"/>
                <w:szCs w:val="20"/>
              </w:rPr>
            </w:pPr>
            <w:r w:rsidRPr="004611FF">
              <w:rPr>
                <w:rFonts w:eastAsia="Cambria" w:cs="Cambria"/>
                <w:color w:val="000000" w:themeColor="text1"/>
                <w:sz w:val="20"/>
                <w:szCs w:val="20"/>
              </w:rPr>
              <w:t>52,0</w:t>
            </w:r>
          </w:p>
        </w:tc>
        <w:tc>
          <w:tcPr>
            <w:tcW w:w="1065" w:type="dxa"/>
            <w:tcBorders>
              <w:top w:val="single" w:sz="6" w:space="0" w:color="auto"/>
              <w:left w:val="single" w:sz="6" w:space="0" w:color="auto"/>
              <w:bottom w:val="single" w:sz="6" w:space="0" w:color="auto"/>
              <w:right w:val="single" w:sz="6" w:space="0" w:color="auto"/>
            </w:tcBorders>
            <w:tcMar>
              <w:left w:w="60" w:type="dxa"/>
              <w:right w:w="60" w:type="dxa"/>
            </w:tcMar>
          </w:tcPr>
          <w:p w14:paraId="206E156E" w14:textId="40547BFC" w:rsidR="35BD0857" w:rsidRPr="004611FF" w:rsidRDefault="35BD0857" w:rsidP="35BD0857">
            <w:pPr>
              <w:widowControl w:val="0"/>
              <w:spacing w:after="0" w:line="240" w:lineRule="auto"/>
              <w:jc w:val="both"/>
              <w:rPr>
                <w:rFonts w:eastAsia="Cambria" w:cs="Cambria"/>
                <w:sz w:val="20"/>
                <w:szCs w:val="20"/>
              </w:rPr>
            </w:pPr>
            <w:r w:rsidRPr="004611FF">
              <w:rPr>
                <w:rFonts w:eastAsia="Cambria" w:cs="Cambria"/>
                <w:sz w:val="20"/>
                <w:szCs w:val="20"/>
              </w:rPr>
              <w:t>KAM </w:t>
            </w:r>
          </w:p>
        </w:tc>
        <w:tc>
          <w:tcPr>
            <w:tcW w:w="5190" w:type="dxa"/>
            <w:tcBorders>
              <w:top w:val="single" w:sz="6" w:space="0" w:color="auto"/>
              <w:left w:val="single" w:sz="6" w:space="0" w:color="auto"/>
              <w:bottom w:val="single" w:sz="6" w:space="0" w:color="auto"/>
              <w:right w:val="single" w:sz="6" w:space="0" w:color="auto"/>
            </w:tcBorders>
            <w:tcMar>
              <w:left w:w="60" w:type="dxa"/>
              <w:right w:w="60" w:type="dxa"/>
            </w:tcMar>
          </w:tcPr>
          <w:p w14:paraId="3F6469B7" w14:textId="0C42F42D" w:rsidR="35BD0857" w:rsidRPr="004611FF" w:rsidRDefault="35BD0857" w:rsidP="35BD0857">
            <w:pPr>
              <w:widowControl w:val="0"/>
              <w:spacing w:after="0" w:line="240" w:lineRule="auto"/>
              <w:jc w:val="both"/>
              <w:rPr>
                <w:rFonts w:eastAsia="Cambria" w:cs="Cambria"/>
                <w:color w:val="000000" w:themeColor="text1"/>
                <w:sz w:val="20"/>
                <w:szCs w:val="20"/>
              </w:rPr>
            </w:pPr>
            <w:r w:rsidRPr="004611FF">
              <w:rPr>
                <w:rFonts w:eastAsia="Cambria" w:cs="Cambria"/>
                <w:color w:val="000000" w:themeColor="text1"/>
                <w:sz w:val="20"/>
                <w:szCs w:val="20"/>
              </w:rPr>
              <w:t xml:space="preserve">Kaitsetööstuspargi rajamine loob tingimused kaitsetööstuse arendamiseks ja majanduskeskkonna parandamiseks. Meetme toel luuakse tööstuspargi toimimiseks vajalik taristu ja rajatised, et tekiks nõuetele vastav tootmiskeskkond laskemoona, lahingumoona ja lõhkeaine </w:t>
            </w:r>
            <w:r w:rsidRPr="004611FF">
              <w:rPr>
                <w:rFonts w:eastAsia="Cambria" w:cs="Cambria"/>
                <w:sz w:val="20"/>
                <w:szCs w:val="20"/>
              </w:rPr>
              <w:t xml:space="preserve">tootmiseks. Tootmishooned ehitavad tööstusparki tegutsema valitud ettevõtted enda jaoks ise. Sekkumisel on ühtlasi positiivne majanduslik ja regionaalne mõju – luuakse </w:t>
            </w:r>
            <w:r w:rsidRPr="004611FF">
              <w:rPr>
                <w:rFonts w:eastAsia="Cambria" w:cs="Cambria"/>
                <w:color w:val="000000" w:themeColor="text1"/>
                <w:sz w:val="20"/>
                <w:szCs w:val="20"/>
              </w:rPr>
              <w:t>eeldused uue kõrgtehnoloogilise tööstusklastri arenguks Pärnumaal, mis parandab piirkondlikku majanduskeskkonda ja loob uusi töökohti.</w:t>
            </w:r>
          </w:p>
        </w:tc>
      </w:tr>
      <w:tr w:rsidR="35BD0857" w:rsidRPr="004611FF" w14:paraId="1A1DEC84" w14:textId="77777777" w:rsidTr="7D29A2AD">
        <w:trPr>
          <w:trHeight w:val="300"/>
        </w:trPr>
        <w:tc>
          <w:tcPr>
            <w:tcW w:w="1815" w:type="dxa"/>
            <w:tcBorders>
              <w:top w:val="single" w:sz="6" w:space="0" w:color="auto"/>
              <w:left w:val="single" w:sz="6" w:space="0" w:color="auto"/>
              <w:bottom w:val="single" w:sz="6" w:space="0" w:color="auto"/>
              <w:right w:val="single" w:sz="6" w:space="0" w:color="auto"/>
            </w:tcBorders>
            <w:tcMar>
              <w:left w:w="60" w:type="dxa"/>
              <w:right w:w="60" w:type="dxa"/>
            </w:tcMar>
          </w:tcPr>
          <w:p w14:paraId="422CFE9A" w14:textId="539C143E" w:rsidR="35BD0857" w:rsidRPr="004611FF" w:rsidRDefault="35BD0857" w:rsidP="35BD0857">
            <w:pPr>
              <w:widowControl w:val="0"/>
              <w:spacing w:after="0" w:line="240" w:lineRule="auto"/>
              <w:jc w:val="both"/>
              <w:rPr>
                <w:rFonts w:eastAsia="Cambria" w:cs="Cambria"/>
                <w:color w:val="000000" w:themeColor="text1"/>
                <w:sz w:val="20"/>
                <w:szCs w:val="20"/>
              </w:rPr>
            </w:pPr>
            <w:r w:rsidRPr="004611FF">
              <w:rPr>
                <w:rFonts w:eastAsia="Cambria" w:cs="Cambria"/>
                <w:color w:val="000000" w:themeColor="text1"/>
                <w:sz w:val="20"/>
                <w:szCs w:val="20"/>
              </w:rPr>
              <w:t>Kaitseettevõtja tootearendus-programm</w:t>
            </w:r>
          </w:p>
        </w:tc>
        <w:tc>
          <w:tcPr>
            <w:tcW w:w="1230" w:type="dxa"/>
            <w:tcBorders>
              <w:top w:val="single" w:sz="6" w:space="0" w:color="auto"/>
              <w:left w:val="single" w:sz="6" w:space="0" w:color="auto"/>
              <w:bottom w:val="single" w:sz="6" w:space="0" w:color="auto"/>
              <w:right w:val="single" w:sz="6" w:space="0" w:color="auto"/>
            </w:tcBorders>
            <w:tcMar>
              <w:left w:w="60" w:type="dxa"/>
              <w:right w:w="60" w:type="dxa"/>
            </w:tcMar>
          </w:tcPr>
          <w:p w14:paraId="4E9AD39F" w14:textId="6290BC98" w:rsidR="35BD0857" w:rsidRPr="004611FF" w:rsidRDefault="35BD0857" w:rsidP="35BD0857">
            <w:pPr>
              <w:widowControl w:val="0"/>
              <w:spacing w:after="0" w:line="240" w:lineRule="auto"/>
              <w:jc w:val="both"/>
              <w:rPr>
                <w:rFonts w:eastAsia="Cambria" w:cs="Cambria"/>
                <w:color w:val="000000" w:themeColor="text1"/>
                <w:sz w:val="20"/>
                <w:szCs w:val="20"/>
              </w:rPr>
            </w:pPr>
            <w:r w:rsidRPr="004611FF">
              <w:rPr>
                <w:rFonts w:eastAsia="Cambria" w:cs="Cambria"/>
                <w:color w:val="000000" w:themeColor="text1"/>
                <w:sz w:val="20"/>
                <w:szCs w:val="20"/>
              </w:rPr>
              <w:t>23,8</w:t>
            </w:r>
          </w:p>
        </w:tc>
        <w:tc>
          <w:tcPr>
            <w:tcW w:w="1065" w:type="dxa"/>
            <w:tcBorders>
              <w:top w:val="single" w:sz="6" w:space="0" w:color="auto"/>
              <w:left w:val="single" w:sz="6" w:space="0" w:color="auto"/>
              <w:bottom w:val="single" w:sz="6" w:space="0" w:color="auto"/>
              <w:right w:val="single" w:sz="6" w:space="0" w:color="auto"/>
            </w:tcBorders>
            <w:tcMar>
              <w:left w:w="60" w:type="dxa"/>
              <w:right w:w="60" w:type="dxa"/>
            </w:tcMar>
          </w:tcPr>
          <w:p w14:paraId="7802FD08" w14:textId="460F3B59" w:rsidR="35BD0857" w:rsidRPr="004611FF" w:rsidRDefault="35BD0857" w:rsidP="35BD0857">
            <w:pPr>
              <w:widowControl w:val="0"/>
              <w:spacing w:after="0" w:line="240" w:lineRule="auto"/>
              <w:jc w:val="both"/>
              <w:rPr>
                <w:rFonts w:eastAsia="Cambria" w:cs="Cambria"/>
                <w:sz w:val="20"/>
                <w:szCs w:val="20"/>
              </w:rPr>
            </w:pPr>
            <w:r w:rsidRPr="004611FF">
              <w:rPr>
                <w:rFonts w:eastAsia="Cambria" w:cs="Cambria"/>
                <w:sz w:val="20"/>
                <w:szCs w:val="20"/>
              </w:rPr>
              <w:t>MKM </w:t>
            </w:r>
          </w:p>
        </w:tc>
        <w:tc>
          <w:tcPr>
            <w:tcW w:w="5190" w:type="dxa"/>
            <w:tcBorders>
              <w:top w:val="single" w:sz="6" w:space="0" w:color="auto"/>
              <w:left w:val="single" w:sz="6" w:space="0" w:color="auto"/>
              <w:bottom w:val="single" w:sz="6" w:space="0" w:color="auto"/>
              <w:right w:val="single" w:sz="6" w:space="0" w:color="auto"/>
            </w:tcBorders>
            <w:tcMar>
              <w:left w:w="60" w:type="dxa"/>
              <w:right w:w="60" w:type="dxa"/>
            </w:tcMar>
          </w:tcPr>
          <w:p w14:paraId="0B170B31" w14:textId="623A8BF5" w:rsidR="35BD0857" w:rsidRPr="004611FF" w:rsidRDefault="35BD0857" w:rsidP="35BD0857">
            <w:pPr>
              <w:widowControl w:val="0"/>
              <w:spacing w:after="0" w:line="240" w:lineRule="auto"/>
              <w:jc w:val="both"/>
              <w:rPr>
                <w:rFonts w:eastAsia="Cambria" w:cs="Cambria"/>
                <w:color w:val="000000" w:themeColor="text1"/>
                <w:sz w:val="20"/>
                <w:szCs w:val="20"/>
              </w:rPr>
            </w:pPr>
            <w:r w:rsidRPr="004611FF">
              <w:rPr>
                <w:rFonts w:eastAsia="Cambria" w:cs="Cambria"/>
                <w:color w:val="000000" w:themeColor="text1"/>
                <w:sz w:val="20"/>
                <w:szCs w:val="20"/>
              </w:rPr>
              <w:t xml:space="preserve">Kaitseettevõtete teadus-, arendus- ja innovatsioonitegevuste mahukuse ja teadmussiirde võimekuse suurendamine. Toetuse abil saab ettevõtja arendada välja rahvusvaheliselt konkurentsivõimelise uue või oluliselt muudetud toote (kahese kasutusega tehnoloogia) või teenuse. </w:t>
            </w:r>
          </w:p>
        </w:tc>
      </w:tr>
      <w:tr w:rsidR="35BD0857" w:rsidRPr="004611FF" w14:paraId="17CB1702" w14:textId="77777777" w:rsidTr="7D29A2AD">
        <w:trPr>
          <w:trHeight w:val="300"/>
        </w:trPr>
        <w:tc>
          <w:tcPr>
            <w:tcW w:w="1815" w:type="dxa"/>
            <w:tcBorders>
              <w:top w:val="single" w:sz="6" w:space="0" w:color="auto"/>
              <w:left w:val="single" w:sz="6" w:space="0" w:color="auto"/>
              <w:bottom w:val="single" w:sz="6" w:space="0" w:color="auto"/>
              <w:right w:val="single" w:sz="6" w:space="0" w:color="auto"/>
            </w:tcBorders>
            <w:tcMar>
              <w:left w:w="60" w:type="dxa"/>
              <w:right w:w="60" w:type="dxa"/>
            </w:tcMar>
          </w:tcPr>
          <w:p w14:paraId="51E0E227" w14:textId="2A5DBADF" w:rsidR="35BD0857" w:rsidRPr="004611FF" w:rsidRDefault="35BD0857" w:rsidP="35BD0857">
            <w:pPr>
              <w:widowControl w:val="0"/>
              <w:spacing w:after="0" w:line="240" w:lineRule="auto"/>
              <w:jc w:val="both"/>
              <w:rPr>
                <w:rFonts w:eastAsia="Cambria" w:cs="Cambria"/>
                <w:color w:val="242424"/>
                <w:sz w:val="20"/>
                <w:szCs w:val="20"/>
              </w:rPr>
            </w:pPr>
            <w:r w:rsidRPr="004611FF">
              <w:rPr>
                <w:rFonts w:eastAsia="Cambria" w:cs="Cambria"/>
                <w:color w:val="242424"/>
                <w:sz w:val="20"/>
                <w:szCs w:val="20"/>
              </w:rPr>
              <w:t>Kaitsetehnoloogia testimisvõimekuse loomine ja riigikaitset toetava tehisaru võimekuse arendamine</w:t>
            </w:r>
          </w:p>
        </w:tc>
        <w:tc>
          <w:tcPr>
            <w:tcW w:w="1230" w:type="dxa"/>
            <w:tcBorders>
              <w:top w:val="single" w:sz="6" w:space="0" w:color="auto"/>
              <w:left w:val="single" w:sz="6" w:space="0" w:color="auto"/>
              <w:bottom w:val="single" w:sz="6" w:space="0" w:color="auto"/>
              <w:right w:val="single" w:sz="6" w:space="0" w:color="auto"/>
            </w:tcBorders>
            <w:tcMar>
              <w:left w:w="60" w:type="dxa"/>
              <w:right w:w="60" w:type="dxa"/>
            </w:tcMar>
          </w:tcPr>
          <w:p w14:paraId="008095DA" w14:textId="2FAAB0FF" w:rsidR="35BD0857" w:rsidRPr="004611FF" w:rsidRDefault="35BD0857" w:rsidP="35BD0857">
            <w:pPr>
              <w:widowControl w:val="0"/>
              <w:spacing w:after="0" w:line="240" w:lineRule="auto"/>
              <w:jc w:val="both"/>
              <w:rPr>
                <w:rFonts w:eastAsia="Cambria" w:cs="Cambria"/>
                <w:color w:val="000000" w:themeColor="text1"/>
                <w:sz w:val="20"/>
                <w:szCs w:val="20"/>
              </w:rPr>
            </w:pPr>
            <w:r w:rsidRPr="004611FF">
              <w:rPr>
                <w:rFonts w:eastAsia="Cambria" w:cs="Cambria"/>
                <w:color w:val="000000" w:themeColor="text1"/>
                <w:sz w:val="20"/>
                <w:szCs w:val="20"/>
              </w:rPr>
              <w:t>14,9</w:t>
            </w:r>
          </w:p>
        </w:tc>
        <w:tc>
          <w:tcPr>
            <w:tcW w:w="1065" w:type="dxa"/>
            <w:tcBorders>
              <w:top w:val="single" w:sz="6" w:space="0" w:color="auto"/>
              <w:left w:val="single" w:sz="6" w:space="0" w:color="auto"/>
              <w:bottom w:val="single" w:sz="6" w:space="0" w:color="auto"/>
              <w:right w:val="single" w:sz="6" w:space="0" w:color="auto"/>
            </w:tcBorders>
            <w:tcMar>
              <w:left w:w="60" w:type="dxa"/>
              <w:right w:w="60" w:type="dxa"/>
            </w:tcMar>
          </w:tcPr>
          <w:p w14:paraId="7AE3E2B8" w14:textId="4A4F673E" w:rsidR="35BD0857" w:rsidRPr="004611FF" w:rsidRDefault="35BD0857" w:rsidP="35BD0857">
            <w:pPr>
              <w:widowControl w:val="0"/>
              <w:spacing w:after="0" w:line="240" w:lineRule="auto"/>
              <w:jc w:val="both"/>
              <w:rPr>
                <w:rFonts w:eastAsia="Cambria" w:cs="Cambria"/>
                <w:sz w:val="20"/>
                <w:szCs w:val="20"/>
              </w:rPr>
            </w:pPr>
            <w:r w:rsidRPr="004611FF">
              <w:rPr>
                <w:rFonts w:eastAsia="Cambria" w:cs="Cambria"/>
                <w:sz w:val="20"/>
                <w:szCs w:val="20"/>
              </w:rPr>
              <w:t xml:space="preserve">HTM </w:t>
            </w:r>
          </w:p>
        </w:tc>
        <w:tc>
          <w:tcPr>
            <w:tcW w:w="5190" w:type="dxa"/>
            <w:tcBorders>
              <w:top w:val="single" w:sz="6" w:space="0" w:color="auto"/>
              <w:left w:val="single" w:sz="6" w:space="0" w:color="auto"/>
              <w:bottom w:val="single" w:sz="6" w:space="0" w:color="auto"/>
              <w:right w:val="single" w:sz="6" w:space="0" w:color="auto"/>
            </w:tcBorders>
            <w:tcMar>
              <w:left w:w="60" w:type="dxa"/>
              <w:right w:w="60" w:type="dxa"/>
            </w:tcMar>
          </w:tcPr>
          <w:p w14:paraId="7EE694ED" w14:textId="71BE543C" w:rsidR="35BD0857" w:rsidRPr="004611FF" w:rsidRDefault="35BD0857" w:rsidP="35BD0857">
            <w:pPr>
              <w:widowControl w:val="0"/>
              <w:spacing w:after="0" w:line="240" w:lineRule="auto"/>
              <w:jc w:val="both"/>
              <w:rPr>
                <w:rFonts w:eastAsia="Cambria" w:cs="Cambria"/>
                <w:color w:val="000000" w:themeColor="text1"/>
                <w:sz w:val="20"/>
                <w:szCs w:val="20"/>
              </w:rPr>
            </w:pPr>
            <w:r w:rsidRPr="004611FF">
              <w:rPr>
                <w:rFonts w:eastAsia="Cambria" w:cs="Cambria"/>
                <w:color w:val="000000" w:themeColor="text1"/>
                <w:sz w:val="20"/>
                <w:szCs w:val="20"/>
              </w:rPr>
              <w:t>Luuakse riigisisene võimekus kaitsetehnoloogia katsetamiseks ja arendamiseks, mis kiirendab kriitiliste kaitsevõimete väljaarendamist, toetab otseselt kaitsetööstust ja selle strateegilist autonoomiat. Tehisaru põhiste sõjaliste eksperimentaalarenduste ja -tehnoloogiate ning sõjalisi otsustusprotsesse toetava teadus- ja arendustegevuse jaoks laiapõhjalist riigikaitset toetavate tehisaru andmekogude taristu võimekuse ja tehisaru genereerimise võimekuse loomine.</w:t>
            </w:r>
          </w:p>
        </w:tc>
      </w:tr>
      <w:tr w:rsidR="35BD0857" w:rsidRPr="004611FF" w14:paraId="2043E65B" w14:textId="77777777" w:rsidTr="7D29A2AD">
        <w:trPr>
          <w:trHeight w:val="300"/>
        </w:trPr>
        <w:tc>
          <w:tcPr>
            <w:tcW w:w="1815" w:type="dxa"/>
            <w:tcBorders>
              <w:top w:val="single" w:sz="6" w:space="0" w:color="auto"/>
              <w:left w:val="single" w:sz="6" w:space="0" w:color="auto"/>
              <w:bottom w:val="single" w:sz="6" w:space="0" w:color="auto"/>
              <w:right w:val="single" w:sz="6" w:space="0" w:color="auto"/>
            </w:tcBorders>
            <w:shd w:val="clear" w:color="auto" w:fill="E8E8E8" w:themeFill="background2"/>
            <w:tcMar>
              <w:left w:w="60" w:type="dxa"/>
              <w:right w:w="60" w:type="dxa"/>
            </w:tcMar>
          </w:tcPr>
          <w:p w14:paraId="29609D65" w14:textId="74352674" w:rsidR="35BD0857" w:rsidRPr="004611FF" w:rsidRDefault="35BD0857" w:rsidP="35BD0857">
            <w:pPr>
              <w:widowControl w:val="0"/>
              <w:spacing w:after="0" w:line="240" w:lineRule="auto"/>
              <w:rPr>
                <w:rFonts w:eastAsia="Cambria" w:cs="Cambria"/>
                <w:color w:val="242424"/>
                <w:sz w:val="20"/>
                <w:szCs w:val="20"/>
              </w:rPr>
            </w:pPr>
            <w:r w:rsidRPr="004611FF">
              <w:rPr>
                <w:rFonts w:eastAsia="Cambria" w:cs="Cambria"/>
                <w:b/>
                <w:bCs/>
                <w:color w:val="242424"/>
                <w:sz w:val="20"/>
                <w:szCs w:val="20"/>
              </w:rPr>
              <w:t>Kokku:</w:t>
            </w:r>
          </w:p>
        </w:tc>
        <w:tc>
          <w:tcPr>
            <w:tcW w:w="1230" w:type="dxa"/>
            <w:tcBorders>
              <w:top w:val="single" w:sz="6" w:space="0" w:color="auto"/>
              <w:left w:val="single" w:sz="6" w:space="0" w:color="auto"/>
              <w:bottom w:val="single" w:sz="6" w:space="0" w:color="auto"/>
              <w:right w:val="single" w:sz="6" w:space="0" w:color="auto"/>
            </w:tcBorders>
            <w:shd w:val="clear" w:color="auto" w:fill="E8E8E8" w:themeFill="background2"/>
            <w:tcMar>
              <w:left w:w="60" w:type="dxa"/>
              <w:right w:w="60" w:type="dxa"/>
            </w:tcMar>
          </w:tcPr>
          <w:p w14:paraId="4BD0A195" w14:textId="471C99CD" w:rsidR="35BD0857" w:rsidRPr="004611FF" w:rsidRDefault="35BD0857" w:rsidP="35BD0857">
            <w:pPr>
              <w:widowControl w:val="0"/>
              <w:spacing w:after="0" w:line="240" w:lineRule="auto"/>
              <w:jc w:val="right"/>
              <w:rPr>
                <w:rFonts w:eastAsia="Cambria" w:cs="Cambria"/>
                <w:color w:val="000000" w:themeColor="text1"/>
                <w:sz w:val="20"/>
                <w:szCs w:val="20"/>
              </w:rPr>
            </w:pPr>
            <w:r w:rsidRPr="004611FF">
              <w:rPr>
                <w:rFonts w:eastAsia="Cambria" w:cs="Cambria"/>
                <w:b/>
                <w:bCs/>
                <w:color w:val="000000" w:themeColor="text1"/>
                <w:sz w:val="20"/>
                <w:szCs w:val="20"/>
              </w:rPr>
              <w:t>90,7</w:t>
            </w:r>
          </w:p>
        </w:tc>
        <w:tc>
          <w:tcPr>
            <w:tcW w:w="6255" w:type="dxa"/>
            <w:gridSpan w:val="2"/>
            <w:tcBorders>
              <w:top w:val="single" w:sz="6" w:space="0" w:color="auto"/>
              <w:left w:val="single" w:sz="6" w:space="0" w:color="auto"/>
              <w:bottom w:val="single" w:sz="6" w:space="0" w:color="auto"/>
              <w:right w:val="single" w:sz="6" w:space="0" w:color="auto"/>
            </w:tcBorders>
            <w:shd w:val="clear" w:color="auto" w:fill="E8E8E8" w:themeFill="background2"/>
            <w:tcMar>
              <w:left w:w="60" w:type="dxa"/>
              <w:right w:w="60" w:type="dxa"/>
            </w:tcMar>
          </w:tcPr>
          <w:p w14:paraId="7BCFE952" w14:textId="4CC74FC1" w:rsidR="35BD0857" w:rsidRPr="004611FF" w:rsidRDefault="35BD0857" w:rsidP="35BD0857">
            <w:pPr>
              <w:widowControl w:val="0"/>
              <w:spacing w:after="0" w:line="240" w:lineRule="auto"/>
              <w:rPr>
                <w:rFonts w:eastAsia="Cambria" w:cs="Cambria"/>
                <w:color w:val="000000" w:themeColor="text1"/>
                <w:sz w:val="20"/>
                <w:szCs w:val="20"/>
              </w:rPr>
            </w:pPr>
          </w:p>
        </w:tc>
      </w:tr>
      <w:tr w:rsidR="35BD0857" w:rsidRPr="004611FF" w14:paraId="199A0D5C" w14:textId="77777777" w:rsidTr="7D29A2AD">
        <w:trPr>
          <w:trHeight w:val="300"/>
        </w:trPr>
        <w:tc>
          <w:tcPr>
            <w:tcW w:w="9300" w:type="dxa"/>
            <w:gridSpan w:val="4"/>
            <w:tcBorders>
              <w:top w:val="single" w:sz="6" w:space="0" w:color="auto"/>
              <w:left w:val="single" w:sz="6" w:space="0" w:color="auto"/>
              <w:bottom w:val="single" w:sz="6" w:space="0" w:color="auto"/>
              <w:right w:val="single" w:sz="6" w:space="0" w:color="auto"/>
            </w:tcBorders>
            <w:shd w:val="clear" w:color="auto" w:fill="DAE9F8"/>
            <w:tcMar>
              <w:left w:w="60" w:type="dxa"/>
              <w:right w:w="60" w:type="dxa"/>
            </w:tcMar>
            <w:vAlign w:val="bottom"/>
          </w:tcPr>
          <w:p w14:paraId="58C8A732" w14:textId="5C901B7E" w:rsidR="35BD0857" w:rsidRPr="004611FF" w:rsidRDefault="35BD0857" w:rsidP="35BD0857">
            <w:pPr>
              <w:widowControl w:val="0"/>
              <w:spacing w:after="0" w:line="240" w:lineRule="auto"/>
              <w:rPr>
                <w:rFonts w:eastAsia="Cambria" w:cs="Cambria"/>
                <w:sz w:val="20"/>
                <w:szCs w:val="20"/>
              </w:rPr>
            </w:pPr>
            <w:r w:rsidRPr="004611FF">
              <w:rPr>
                <w:rFonts w:eastAsia="Cambria" w:cs="Cambria"/>
                <w:b/>
                <w:bCs/>
                <w:sz w:val="20"/>
                <w:szCs w:val="20"/>
              </w:rPr>
              <w:t xml:space="preserve">Poliitikaeesmärk 3 „Ühendatum Eesti“ erieesmärk </w:t>
            </w:r>
            <w:r w:rsidRPr="004611FF">
              <w:rPr>
                <w:rFonts w:eastAsia="Cambria" w:cs="Cambria"/>
                <w:b/>
                <w:bCs/>
                <w:color w:val="000000" w:themeColor="text1"/>
                <w:sz w:val="20"/>
                <w:szCs w:val="20"/>
              </w:rPr>
              <w:t xml:space="preserve">iii) </w:t>
            </w:r>
            <w:r w:rsidRPr="004611FF">
              <w:rPr>
                <w:rFonts w:eastAsia="Cambria" w:cs="Cambria"/>
                <w:b/>
                <w:bCs/>
                <w:sz w:val="20"/>
                <w:szCs w:val="20"/>
              </w:rPr>
              <w:t>kerkse kaitsetaristu arendamine, seades esikohale kahesuguse kasutuse, sealhulgas sõjaväelise liikuvuse edendamiseks liidus, ning tsiviilvalmisoleku suurendamine</w:t>
            </w:r>
          </w:p>
        </w:tc>
      </w:tr>
      <w:tr w:rsidR="35BD0857" w:rsidRPr="004611FF" w14:paraId="561931DF" w14:textId="77777777" w:rsidTr="7D29A2AD">
        <w:trPr>
          <w:trHeight w:val="300"/>
        </w:trPr>
        <w:tc>
          <w:tcPr>
            <w:tcW w:w="1815" w:type="dxa"/>
            <w:tcBorders>
              <w:top w:val="single" w:sz="6" w:space="0" w:color="auto"/>
              <w:left w:val="single" w:sz="6" w:space="0" w:color="auto"/>
              <w:bottom w:val="single" w:sz="6" w:space="0" w:color="auto"/>
              <w:right w:val="single" w:sz="6" w:space="0" w:color="auto"/>
            </w:tcBorders>
            <w:shd w:val="clear" w:color="auto" w:fill="DAE9F8"/>
            <w:tcMar>
              <w:left w:w="60" w:type="dxa"/>
              <w:right w:w="60" w:type="dxa"/>
            </w:tcMar>
            <w:vAlign w:val="center"/>
          </w:tcPr>
          <w:p w14:paraId="17344470" w14:textId="4F62B1CB" w:rsidR="35BD0857" w:rsidRPr="004611FF" w:rsidRDefault="35BD0857" w:rsidP="35BD0857">
            <w:pPr>
              <w:widowControl w:val="0"/>
              <w:spacing w:after="0" w:line="240" w:lineRule="auto"/>
              <w:jc w:val="center"/>
              <w:rPr>
                <w:rFonts w:eastAsia="Cambria" w:cs="Cambria"/>
                <w:sz w:val="20"/>
                <w:szCs w:val="20"/>
              </w:rPr>
            </w:pPr>
            <w:r w:rsidRPr="004611FF">
              <w:rPr>
                <w:rFonts w:eastAsia="Cambria" w:cs="Cambria"/>
                <w:b/>
                <w:bCs/>
                <w:sz w:val="20"/>
                <w:szCs w:val="20"/>
              </w:rPr>
              <w:t>Sekkumine</w:t>
            </w:r>
          </w:p>
        </w:tc>
        <w:tc>
          <w:tcPr>
            <w:tcW w:w="1230" w:type="dxa"/>
            <w:tcBorders>
              <w:top w:val="single" w:sz="6" w:space="0" w:color="auto"/>
              <w:left w:val="single" w:sz="6" w:space="0" w:color="auto"/>
              <w:bottom w:val="single" w:sz="6" w:space="0" w:color="auto"/>
              <w:right w:val="single" w:sz="6" w:space="0" w:color="auto"/>
            </w:tcBorders>
            <w:shd w:val="clear" w:color="auto" w:fill="DAE9F8"/>
            <w:tcMar>
              <w:left w:w="60" w:type="dxa"/>
              <w:right w:w="60" w:type="dxa"/>
            </w:tcMar>
            <w:vAlign w:val="center"/>
          </w:tcPr>
          <w:p w14:paraId="6A380C69" w14:textId="765B3DAB" w:rsidR="35BD0857" w:rsidRPr="004611FF" w:rsidRDefault="35BD0857" w:rsidP="35BD0857">
            <w:pPr>
              <w:widowControl w:val="0"/>
              <w:spacing w:after="0" w:line="240" w:lineRule="auto"/>
              <w:jc w:val="center"/>
              <w:rPr>
                <w:rFonts w:eastAsia="Cambria" w:cs="Cambria"/>
                <w:sz w:val="20"/>
                <w:szCs w:val="20"/>
              </w:rPr>
            </w:pPr>
            <w:r w:rsidRPr="004611FF">
              <w:rPr>
                <w:rFonts w:eastAsia="Cambria" w:cs="Cambria"/>
                <w:b/>
                <w:bCs/>
                <w:sz w:val="20"/>
                <w:szCs w:val="20"/>
              </w:rPr>
              <w:t>EL toetuse eelarve</w:t>
            </w:r>
          </w:p>
          <w:p w14:paraId="66C0F2F6" w14:textId="001798C6" w:rsidR="35BD0857" w:rsidRPr="004611FF" w:rsidRDefault="35BD0857" w:rsidP="35BD0857">
            <w:pPr>
              <w:widowControl w:val="0"/>
              <w:spacing w:after="0" w:line="240" w:lineRule="auto"/>
              <w:jc w:val="center"/>
              <w:rPr>
                <w:rFonts w:eastAsia="Cambria" w:cs="Cambria"/>
                <w:sz w:val="20"/>
                <w:szCs w:val="20"/>
              </w:rPr>
            </w:pPr>
            <w:r w:rsidRPr="004611FF">
              <w:rPr>
                <w:rFonts w:eastAsia="Cambria" w:cs="Cambria"/>
                <w:b/>
                <w:bCs/>
                <w:sz w:val="20"/>
                <w:szCs w:val="20"/>
              </w:rPr>
              <w:t>(mln eurot)</w:t>
            </w:r>
          </w:p>
        </w:tc>
        <w:tc>
          <w:tcPr>
            <w:tcW w:w="1065" w:type="dxa"/>
            <w:tcBorders>
              <w:top w:val="single" w:sz="6" w:space="0" w:color="auto"/>
              <w:left w:val="single" w:sz="6" w:space="0" w:color="auto"/>
              <w:bottom w:val="single" w:sz="6" w:space="0" w:color="auto"/>
              <w:right w:val="single" w:sz="6" w:space="0" w:color="auto"/>
            </w:tcBorders>
            <w:shd w:val="clear" w:color="auto" w:fill="DAE9F8"/>
            <w:tcMar>
              <w:left w:w="60" w:type="dxa"/>
              <w:right w:w="60" w:type="dxa"/>
            </w:tcMar>
            <w:vAlign w:val="center"/>
          </w:tcPr>
          <w:p w14:paraId="70E37472" w14:textId="6D680B49" w:rsidR="35BD0857" w:rsidRPr="004611FF" w:rsidRDefault="35BD0857" w:rsidP="35BD0857">
            <w:pPr>
              <w:widowControl w:val="0"/>
              <w:spacing w:after="0" w:line="240" w:lineRule="auto"/>
              <w:jc w:val="center"/>
              <w:rPr>
                <w:rFonts w:eastAsia="Cambria" w:cs="Cambria"/>
                <w:sz w:val="20"/>
                <w:szCs w:val="20"/>
              </w:rPr>
            </w:pPr>
            <w:r w:rsidRPr="004611FF">
              <w:rPr>
                <w:rFonts w:eastAsia="Cambria" w:cs="Cambria"/>
                <w:b/>
                <w:bCs/>
                <w:sz w:val="20"/>
                <w:szCs w:val="20"/>
              </w:rPr>
              <w:t>Rakendus-asutus</w:t>
            </w:r>
          </w:p>
        </w:tc>
        <w:tc>
          <w:tcPr>
            <w:tcW w:w="5190" w:type="dxa"/>
            <w:tcBorders>
              <w:top w:val="single" w:sz="6" w:space="0" w:color="auto"/>
              <w:left w:val="single" w:sz="6" w:space="0" w:color="auto"/>
              <w:bottom w:val="single" w:sz="6" w:space="0" w:color="auto"/>
              <w:right w:val="single" w:sz="6" w:space="0" w:color="auto"/>
            </w:tcBorders>
            <w:shd w:val="clear" w:color="auto" w:fill="DAE9F8"/>
            <w:tcMar>
              <w:left w:w="60" w:type="dxa"/>
              <w:right w:w="60" w:type="dxa"/>
            </w:tcMar>
            <w:vAlign w:val="center"/>
          </w:tcPr>
          <w:p w14:paraId="3D0E596C" w14:textId="0E0EE332" w:rsidR="35BD0857" w:rsidRPr="004611FF" w:rsidRDefault="35BD0857" w:rsidP="35BD0857">
            <w:pPr>
              <w:widowControl w:val="0"/>
              <w:spacing w:after="0" w:line="240" w:lineRule="auto"/>
              <w:jc w:val="center"/>
              <w:rPr>
                <w:rFonts w:eastAsia="Cambria" w:cs="Cambria"/>
                <w:color w:val="000000" w:themeColor="text1"/>
                <w:sz w:val="20"/>
                <w:szCs w:val="20"/>
              </w:rPr>
            </w:pPr>
            <w:r w:rsidRPr="004611FF">
              <w:rPr>
                <w:rFonts w:eastAsia="Cambria" w:cs="Cambria"/>
                <w:b/>
                <w:bCs/>
                <w:color w:val="000000" w:themeColor="text1"/>
                <w:sz w:val="20"/>
                <w:szCs w:val="20"/>
              </w:rPr>
              <w:t>Selgitus</w:t>
            </w:r>
          </w:p>
        </w:tc>
      </w:tr>
      <w:tr w:rsidR="35BD0857" w:rsidRPr="004611FF" w14:paraId="71E0C97C" w14:textId="77777777" w:rsidTr="7D29A2AD">
        <w:trPr>
          <w:trHeight w:val="300"/>
        </w:trPr>
        <w:tc>
          <w:tcPr>
            <w:tcW w:w="1815" w:type="dxa"/>
            <w:tcBorders>
              <w:top w:val="single" w:sz="6" w:space="0" w:color="auto"/>
              <w:left w:val="single" w:sz="6" w:space="0" w:color="auto"/>
              <w:bottom w:val="single" w:sz="6" w:space="0" w:color="auto"/>
              <w:right w:val="single" w:sz="6" w:space="0" w:color="auto"/>
            </w:tcBorders>
            <w:tcMar>
              <w:left w:w="60" w:type="dxa"/>
              <w:right w:w="60" w:type="dxa"/>
            </w:tcMar>
          </w:tcPr>
          <w:p w14:paraId="343F39C5" w14:textId="09FA8694" w:rsidR="35BD0857" w:rsidRPr="004611FF" w:rsidRDefault="35BD0857" w:rsidP="35BD0857">
            <w:pPr>
              <w:widowControl w:val="0"/>
              <w:spacing w:after="0" w:line="240" w:lineRule="auto"/>
              <w:rPr>
                <w:rFonts w:eastAsia="Cambria" w:cs="Cambria"/>
                <w:color w:val="000000" w:themeColor="text1"/>
                <w:sz w:val="20"/>
                <w:szCs w:val="20"/>
              </w:rPr>
            </w:pPr>
            <w:r w:rsidRPr="004611FF">
              <w:rPr>
                <w:rFonts w:eastAsia="Cambria" w:cs="Cambria"/>
                <w:color w:val="000000" w:themeColor="text1"/>
                <w:sz w:val="20"/>
                <w:szCs w:val="20"/>
              </w:rPr>
              <w:t>Sõjaväelise liikuvuse investeeringud (TEN-T maanteede, raudteede ehitus ja rekonstrueerimine)</w:t>
            </w:r>
          </w:p>
        </w:tc>
        <w:tc>
          <w:tcPr>
            <w:tcW w:w="1230" w:type="dxa"/>
            <w:tcBorders>
              <w:top w:val="single" w:sz="6" w:space="0" w:color="auto"/>
              <w:left w:val="single" w:sz="6" w:space="0" w:color="auto"/>
              <w:bottom w:val="single" w:sz="6" w:space="0" w:color="auto"/>
              <w:right w:val="single" w:sz="6" w:space="0" w:color="auto"/>
            </w:tcBorders>
            <w:tcMar>
              <w:left w:w="60" w:type="dxa"/>
              <w:right w:w="60" w:type="dxa"/>
            </w:tcMar>
          </w:tcPr>
          <w:p w14:paraId="1270AB33" w14:textId="18B69644" w:rsidR="35BD0857" w:rsidRPr="004611FF" w:rsidRDefault="35BD0857" w:rsidP="35BD0857">
            <w:pPr>
              <w:widowControl w:val="0"/>
              <w:spacing w:after="0" w:line="240" w:lineRule="auto"/>
              <w:jc w:val="right"/>
              <w:rPr>
                <w:rFonts w:eastAsia="Cambria" w:cs="Cambria"/>
                <w:color w:val="000000" w:themeColor="text1"/>
                <w:sz w:val="20"/>
                <w:szCs w:val="20"/>
              </w:rPr>
            </w:pPr>
            <w:r w:rsidRPr="004611FF">
              <w:rPr>
                <w:rFonts w:eastAsia="Cambria" w:cs="Cambria"/>
                <w:color w:val="000000" w:themeColor="text1"/>
                <w:sz w:val="20"/>
                <w:szCs w:val="20"/>
              </w:rPr>
              <w:t>275,53</w:t>
            </w:r>
          </w:p>
        </w:tc>
        <w:tc>
          <w:tcPr>
            <w:tcW w:w="1065" w:type="dxa"/>
            <w:tcBorders>
              <w:top w:val="single" w:sz="6" w:space="0" w:color="auto"/>
              <w:left w:val="single" w:sz="6" w:space="0" w:color="auto"/>
              <w:bottom w:val="single" w:sz="6" w:space="0" w:color="auto"/>
              <w:right w:val="single" w:sz="6" w:space="0" w:color="auto"/>
            </w:tcBorders>
            <w:tcMar>
              <w:left w:w="60" w:type="dxa"/>
              <w:right w:w="60" w:type="dxa"/>
            </w:tcMar>
          </w:tcPr>
          <w:p w14:paraId="77567130" w14:textId="44F7FC25" w:rsidR="35BD0857" w:rsidRPr="004611FF" w:rsidRDefault="35BD0857" w:rsidP="35BD0857">
            <w:pPr>
              <w:widowControl w:val="0"/>
              <w:spacing w:after="0" w:line="240" w:lineRule="auto"/>
              <w:jc w:val="right"/>
              <w:rPr>
                <w:rFonts w:eastAsia="Cambria" w:cs="Cambria"/>
                <w:sz w:val="20"/>
                <w:szCs w:val="20"/>
              </w:rPr>
            </w:pPr>
            <w:r w:rsidRPr="004611FF">
              <w:rPr>
                <w:rFonts w:eastAsia="Cambria" w:cs="Cambria"/>
                <w:sz w:val="20"/>
                <w:szCs w:val="20"/>
              </w:rPr>
              <w:t>KLIM </w:t>
            </w:r>
          </w:p>
        </w:tc>
        <w:tc>
          <w:tcPr>
            <w:tcW w:w="5190"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755E20EE" w14:textId="13EA0459" w:rsidR="35BD0857" w:rsidRPr="004611FF" w:rsidRDefault="35BD0857" w:rsidP="35BD0857">
            <w:pPr>
              <w:widowControl w:val="0"/>
              <w:spacing w:after="0" w:line="240" w:lineRule="auto"/>
              <w:jc w:val="both"/>
              <w:rPr>
                <w:rFonts w:eastAsia="Cambria" w:cs="Cambria"/>
                <w:color w:val="000000" w:themeColor="text1"/>
                <w:sz w:val="20"/>
                <w:szCs w:val="20"/>
              </w:rPr>
            </w:pPr>
            <w:r w:rsidRPr="004611FF">
              <w:rPr>
                <w:rFonts w:eastAsia="Cambria" w:cs="Cambria"/>
                <w:color w:val="000000" w:themeColor="text1"/>
                <w:sz w:val="20"/>
                <w:szCs w:val="20"/>
              </w:rPr>
              <w:t xml:space="preserve">Sõjaväelise liikuvuse investeeringud Tallinn-Pärnu-Ikla (Via Baltica) ja </w:t>
            </w:r>
            <w:r w:rsidR="338B9DFC" w:rsidRPr="2999F8CB">
              <w:rPr>
                <w:rFonts w:eastAsia="Cambria" w:cs="Cambria"/>
                <w:color w:val="000000" w:themeColor="text1"/>
                <w:sz w:val="20"/>
                <w:szCs w:val="20"/>
              </w:rPr>
              <w:t>Tallinn</w:t>
            </w:r>
            <w:r w:rsidR="0D0FC162" w:rsidRPr="2999F8CB">
              <w:rPr>
                <w:rFonts w:eastAsia="Cambria" w:cs="Cambria"/>
                <w:color w:val="000000" w:themeColor="text1"/>
                <w:sz w:val="20"/>
                <w:szCs w:val="20"/>
              </w:rPr>
              <w:t>a</w:t>
            </w:r>
            <w:r w:rsidRPr="004611FF">
              <w:rPr>
                <w:rFonts w:eastAsia="Cambria" w:cs="Cambria"/>
                <w:color w:val="000000" w:themeColor="text1"/>
                <w:sz w:val="20"/>
                <w:szCs w:val="20"/>
              </w:rPr>
              <w:t>-Tartu maanteel ning Rail Balticul. Maantee investeeringute esialgne planeeritud EL toetuse eelarve on ca 177 mln eurot ning raudtee investeeringute esialgne planeeritud EL toetuse eelarve ca 98 mln eurot. Summad sisaldavad nii uusi tegevusi kui ka juba käivitunud projekte*, mis panustavad samuti sõjalise liikuvuse eesmärgi täitmisesse ja liigitatakse seega ümber uue erieesmärgi alla.</w:t>
            </w:r>
          </w:p>
          <w:p w14:paraId="67381F56" w14:textId="38E93CC3" w:rsidR="35BD0857" w:rsidRPr="004611FF" w:rsidRDefault="35BD0857" w:rsidP="35BD0857">
            <w:pPr>
              <w:widowControl w:val="0"/>
              <w:spacing w:after="0" w:line="240" w:lineRule="auto"/>
              <w:jc w:val="both"/>
              <w:rPr>
                <w:rFonts w:eastAsia="Cambria" w:cs="Cambria"/>
                <w:color w:val="000000" w:themeColor="text1"/>
                <w:sz w:val="20"/>
                <w:szCs w:val="20"/>
              </w:rPr>
            </w:pPr>
          </w:p>
          <w:p w14:paraId="02C30F22" w14:textId="13B58F6B" w:rsidR="35BD0857" w:rsidRPr="004611FF" w:rsidRDefault="35BD0857" w:rsidP="35BD0857">
            <w:pPr>
              <w:widowControl w:val="0"/>
              <w:spacing w:after="0" w:line="240" w:lineRule="auto"/>
              <w:jc w:val="both"/>
              <w:rPr>
                <w:rFonts w:eastAsia="Cambria" w:cs="Cambria"/>
                <w:color w:val="000000" w:themeColor="text1"/>
                <w:sz w:val="20"/>
                <w:szCs w:val="20"/>
              </w:rPr>
            </w:pPr>
            <w:r w:rsidRPr="004611FF">
              <w:rPr>
                <w:rFonts w:eastAsia="Cambria" w:cs="Cambria"/>
                <w:i/>
                <w:iCs/>
                <w:color w:val="000000" w:themeColor="text1"/>
                <w:sz w:val="20"/>
                <w:szCs w:val="20"/>
              </w:rPr>
              <w:t>* Sh „</w:t>
            </w:r>
            <w:r w:rsidR="338B9DFC" w:rsidRPr="2999F8CB">
              <w:rPr>
                <w:rFonts w:eastAsia="Cambria" w:cs="Cambria"/>
                <w:i/>
                <w:iCs/>
                <w:color w:val="000000" w:themeColor="text1"/>
                <w:sz w:val="20"/>
                <w:szCs w:val="20"/>
              </w:rPr>
              <w:t>Tallinn</w:t>
            </w:r>
            <w:r w:rsidR="18F4ED88" w:rsidRPr="2999F8CB">
              <w:rPr>
                <w:rFonts w:eastAsia="Cambria" w:cs="Cambria"/>
                <w:i/>
                <w:iCs/>
                <w:color w:val="000000" w:themeColor="text1"/>
                <w:sz w:val="20"/>
                <w:szCs w:val="20"/>
              </w:rPr>
              <w:t>a</w:t>
            </w:r>
            <w:r w:rsidRPr="004611FF">
              <w:rPr>
                <w:rFonts w:eastAsia="Cambria" w:cs="Cambria"/>
                <w:i/>
                <w:iCs/>
                <w:color w:val="000000" w:themeColor="text1"/>
                <w:sz w:val="20"/>
                <w:szCs w:val="20"/>
              </w:rPr>
              <w:t xml:space="preserve">-Pärnu-Ikla </w:t>
            </w:r>
            <w:proofErr w:type="spellStart"/>
            <w:r w:rsidRPr="004611FF">
              <w:rPr>
                <w:rFonts w:eastAsia="Cambria" w:cs="Cambria"/>
                <w:i/>
                <w:iCs/>
                <w:color w:val="000000" w:themeColor="text1"/>
                <w:sz w:val="20"/>
                <w:szCs w:val="20"/>
              </w:rPr>
              <w:t>Libatse</w:t>
            </w:r>
            <w:proofErr w:type="spellEnd"/>
            <w:r w:rsidRPr="004611FF">
              <w:rPr>
                <w:rFonts w:eastAsia="Cambria" w:cs="Cambria"/>
                <w:i/>
                <w:iCs/>
                <w:color w:val="000000" w:themeColor="text1"/>
                <w:sz w:val="20"/>
                <w:szCs w:val="20"/>
              </w:rPr>
              <w:t xml:space="preserve">-Nurme teelõigu ehitus", ning "Rail Baltica Ülemiste reisiterminali, Pärnu reisiterminali ja kohalike peatuste ehitamine, mis on mh olulised parema juurdepääsu tagamiseks uuele ja kiirele raudteeühendusele ning võimaldades militaarvarustuse transporti. </w:t>
            </w:r>
          </w:p>
        </w:tc>
      </w:tr>
      <w:tr w:rsidR="35BD0857" w:rsidRPr="004611FF" w14:paraId="641AB687" w14:textId="77777777" w:rsidTr="7D29A2AD">
        <w:trPr>
          <w:trHeight w:val="300"/>
        </w:trPr>
        <w:tc>
          <w:tcPr>
            <w:tcW w:w="1815" w:type="dxa"/>
            <w:tcBorders>
              <w:top w:val="single" w:sz="6" w:space="0" w:color="auto"/>
              <w:left w:val="single" w:sz="6" w:space="0" w:color="auto"/>
              <w:bottom w:val="single" w:sz="6" w:space="0" w:color="auto"/>
              <w:right w:val="single" w:sz="6" w:space="0" w:color="auto"/>
            </w:tcBorders>
            <w:tcMar>
              <w:left w:w="60" w:type="dxa"/>
              <w:right w:w="60" w:type="dxa"/>
            </w:tcMar>
          </w:tcPr>
          <w:p w14:paraId="631BD8E7" w14:textId="42254860" w:rsidR="35BD0857" w:rsidRPr="004611FF" w:rsidRDefault="35BD0857" w:rsidP="35BD0857">
            <w:pPr>
              <w:widowControl w:val="0"/>
              <w:spacing w:after="0" w:line="240" w:lineRule="auto"/>
              <w:rPr>
                <w:rFonts w:eastAsia="Cambria" w:cs="Cambria"/>
                <w:color w:val="000000" w:themeColor="text1"/>
                <w:sz w:val="20"/>
                <w:szCs w:val="20"/>
              </w:rPr>
            </w:pPr>
            <w:r w:rsidRPr="004611FF">
              <w:rPr>
                <w:rFonts w:eastAsia="Cambria" w:cs="Cambria"/>
                <w:color w:val="000000" w:themeColor="text1"/>
                <w:sz w:val="20"/>
                <w:szCs w:val="20"/>
              </w:rPr>
              <w:t xml:space="preserve">Sõjaväelise liikuvuse edendamist ning </w:t>
            </w:r>
            <w:r w:rsidRPr="004611FF">
              <w:rPr>
                <w:rFonts w:eastAsia="Cambria" w:cs="Cambria"/>
                <w:color w:val="000000" w:themeColor="text1"/>
                <w:sz w:val="20"/>
                <w:szCs w:val="20"/>
              </w:rPr>
              <w:lastRenderedPageBreak/>
              <w:t>toimimist toetavad investeeringud (sh liitlaste vastuvõtu- ja kaitseväetaristu investeeringud)</w:t>
            </w:r>
          </w:p>
        </w:tc>
        <w:tc>
          <w:tcPr>
            <w:tcW w:w="1230" w:type="dxa"/>
            <w:tcBorders>
              <w:top w:val="single" w:sz="6" w:space="0" w:color="auto"/>
              <w:left w:val="single" w:sz="6" w:space="0" w:color="auto"/>
              <w:bottom w:val="single" w:sz="6" w:space="0" w:color="auto"/>
              <w:right w:val="single" w:sz="6" w:space="0" w:color="auto"/>
            </w:tcBorders>
            <w:tcMar>
              <w:left w:w="60" w:type="dxa"/>
              <w:right w:w="60" w:type="dxa"/>
            </w:tcMar>
          </w:tcPr>
          <w:p w14:paraId="05D66B8B" w14:textId="0958E751" w:rsidR="35BD0857" w:rsidRPr="004611FF" w:rsidRDefault="35BD0857" w:rsidP="35BD0857">
            <w:pPr>
              <w:widowControl w:val="0"/>
              <w:spacing w:after="0" w:line="240" w:lineRule="auto"/>
              <w:jc w:val="right"/>
              <w:rPr>
                <w:rFonts w:eastAsia="Cambria" w:cs="Cambria"/>
                <w:color w:val="000000" w:themeColor="text1"/>
                <w:sz w:val="20"/>
                <w:szCs w:val="20"/>
              </w:rPr>
            </w:pPr>
            <w:r w:rsidRPr="004611FF">
              <w:rPr>
                <w:rFonts w:eastAsia="Cambria" w:cs="Cambria"/>
                <w:color w:val="000000" w:themeColor="text1"/>
                <w:sz w:val="20"/>
                <w:szCs w:val="20"/>
              </w:rPr>
              <w:lastRenderedPageBreak/>
              <w:t>19,65</w:t>
            </w:r>
          </w:p>
        </w:tc>
        <w:tc>
          <w:tcPr>
            <w:tcW w:w="1065" w:type="dxa"/>
            <w:tcBorders>
              <w:top w:val="single" w:sz="6" w:space="0" w:color="auto"/>
              <w:left w:val="single" w:sz="6" w:space="0" w:color="auto"/>
              <w:bottom w:val="single" w:sz="6" w:space="0" w:color="auto"/>
              <w:right w:val="single" w:sz="6" w:space="0" w:color="auto"/>
            </w:tcBorders>
            <w:tcMar>
              <w:left w:w="60" w:type="dxa"/>
              <w:right w:w="60" w:type="dxa"/>
            </w:tcMar>
          </w:tcPr>
          <w:p w14:paraId="17A1AFEF" w14:textId="25CC9527" w:rsidR="35BD0857" w:rsidRPr="004611FF" w:rsidRDefault="35BD0857" w:rsidP="35BD0857">
            <w:pPr>
              <w:widowControl w:val="0"/>
              <w:spacing w:after="0" w:line="240" w:lineRule="auto"/>
              <w:jc w:val="right"/>
              <w:rPr>
                <w:rFonts w:eastAsia="Cambria" w:cs="Cambria"/>
                <w:sz w:val="20"/>
                <w:szCs w:val="20"/>
              </w:rPr>
            </w:pPr>
            <w:r w:rsidRPr="004611FF">
              <w:rPr>
                <w:rFonts w:eastAsia="Cambria" w:cs="Cambria"/>
                <w:sz w:val="20"/>
                <w:szCs w:val="20"/>
              </w:rPr>
              <w:t>KAM </w:t>
            </w:r>
          </w:p>
        </w:tc>
        <w:tc>
          <w:tcPr>
            <w:tcW w:w="5190" w:type="dxa"/>
            <w:tcBorders>
              <w:top w:val="single" w:sz="6" w:space="0" w:color="auto"/>
              <w:left w:val="single" w:sz="6" w:space="0" w:color="auto"/>
              <w:bottom w:val="single" w:sz="6" w:space="0" w:color="auto"/>
              <w:right w:val="single" w:sz="6" w:space="0" w:color="auto"/>
            </w:tcBorders>
            <w:tcMar>
              <w:left w:w="60" w:type="dxa"/>
              <w:right w:w="60" w:type="dxa"/>
            </w:tcMar>
          </w:tcPr>
          <w:p w14:paraId="24403E28" w14:textId="444695A3" w:rsidR="35BD0857" w:rsidRPr="004611FF" w:rsidRDefault="6A53023A" w:rsidP="35BD0857">
            <w:pPr>
              <w:widowControl w:val="0"/>
              <w:spacing w:after="0" w:line="240" w:lineRule="auto"/>
              <w:jc w:val="both"/>
              <w:rPr>
                <w:rFonts w:eastAsia="Cambria" w:cs="Cambria"/>
                <w:color w:val="000000" w:themeColor="text1"/>
                <w:sz w:val="20"/>
                <w:szCs w:val="20"/>
              </w:rPr>
            </w:pPr>
            <w:r w:rsidRPr="7D29A2AD">
              <w:rPr>
                <w:rFonts w:eastAsia="Cambria" w:cs="Cambria"/>
                <w:color w:val="000000" w:themeColor="text1"/>
                <w:sz w:val="20"/>
                <w:szCs w:val="20"/>
              </w:rPr>
              <w:t>Olulise sõjaväelist liikuvust toetava taristuarendusena rajatakse sõjaväelinnak</w:t>
            </w:r>
            <w:r w:rsidR="05EE2C45" w:rsidRPr="7D29A2AD">
              <w:rPr>
                <w:rFonts w:eastAsia="Cambria" w:cs="Cambria"/>
                <w:color w:val="000000" w:themeColor="text1"/>
                <w:sz w:val="20"/>
                <w:szCs w:val="20"/>
              </w:rPr>
              <w:t>, mis</w:t>
            </w:r>
            <w:r w:rsidRPr="7D29A2AD">
              <w:rPr>
                <w:rFonts w:eastAsia="Cambria" w:cs="Cambria"/>
                <w:color w:val="000000" w:themeColor="text1"/>
                <w:sz w:val="20"/>
                <w:szCs w:val="20"/>
              </w:rPr>
              <w:t xml:space="preserve"> parandab oluliselt liitlasvägede vastuvõtuvõimekust</w:t>
            </w:r>
            <w:r w:rsidR="09BC2020" w:rsidRPr="7D29A2AD">
              <w:rPr>
                <w:rFonts w:eastAsia="Cambria" w:cs="Cambria"/>
                <w:color w:val="000000" w:themeColor="text1"/>
                <w:sz w:val="20"/>
                <w:szCs w:val="20"/>
              </w:rPr>
              <w:t xml:space="preserve"> ning aitab suurendada </w:t>
            </w:r>
            <w:r w:rsidR="09BC2020" w:rsidRPr="7D29A2AD">
              <w:rPr>
                <w:rFonts w:eastAsia="Cambria" w:cs="Cambria"/>
                <w:color w:val="000000" w:themeColor="text1"/>
                <w:sz w:val="20"/>
                <w:szCs w:val="20"/>
              </w:rPr>
              <w:lastRenderedPageBreak/>
              <w:t>NATO liitlaste kohalolu piirkonnas</w:t>
            </w:r>
            <w:r w:rsidRPr="7D29A2AD">
              <w:rPr>
                <w:rFonts w:eastAsia="Cambria" w:cs="Cambria"/>
                <w:color w:val="000000" w:themeColor="text1"/>
                <w:sz w:val="20"/>
                <w:szCs w:val="20"/>
              </w:rPr>
              <w:t>.</w:t>
            </w:r>
          </w:p>
        </w:tc>
      </w:tr>
      <w:tr w:rsidR="35BD0857" w:rsidRPr="004611FF" w14:paraId="620DABF0" w14:textId="77777777" w:rsidTr="7D29A2AD">
        <w:trPr>
          <w:trHeight w:val="300"/>
        </w:trPr>
        <w:tc>
          <w:tcPr>
            <w:tcW w:w="1815" w:type="dxa"/>
            <w:tcBorders>
              <w:top w:val="single" w:sz="6" w:space="0" w:color="auto"/>
              <w:left w:val="single" w:sz="6" w:space="0" w:color="auto"/>
              <w:bottom w:val="single" w:sz="6" w:space="0" w:color="auto"/>
              <w:right w:val="single" w:sz="6" w:space="0" w:color="auto"/>
            </w:tcBorders>
            <w:shd w:val="clear" w:color="auto" w:fill="E8E8E8" w:themeFill="background2"/>
            <w:tcMar>
              <w:left w:w="60" w:type="dxa"/>
              <w:right w:w="60" w:type="dxa"/>
            </w:tcMar>
          </w:tcPr>
          <w:p w14:paraId="47B89D86" w14:textId="57386129" w:rsidR="35BD0857" w:rsidRPr="004611FF" w:rsidRDefault="35BD0857" w:rsidP="35BD0857">
            <w:pPr>
              <w:widowControl w:val="0"/>
              <w:spacing w:after="0" w:line="240" w:lineRule="auto"/>
              <w:rPr>
                <w:rFonts w:eastAsia="Cambria" w:cs="Cambria"/>
                <w:color w:val="000000" w:themeColor="text1"/>
                <w:sz w:val="20"/>
                <w:szCs w:val="20"/>
              </w:rPr>
            </w:pPr>
            <w:r w:rsidRPr="004611FF">
              <w:rPr>
                <w:rFonts w:eastAsia="Cambria" w:cs="Cambria"/>
                <w:b/>
                <w:bCs/>
                <w:color w:val="000000" w:themeColor="text1"/>
                <w:sz w:val="20"/>
                <w:szCs w:val="20"/>
              </w:rPr>
              <w:lastRenderedPageBreak/>
              <w:t>KOKKU:</w:t>
            </w:r>
          </w:p>
        </w:tc>
        <w:tc>
          <w:tcPr>
            <w:tcW w:w="1230" w:type="dxa"/>
            <w:tcBorders>
              <w:top w:val="single" w:sz="6" w:space="0" w:color="auto"/>
              <w:left w:val="single" w:sz="6" w:space="0" w:color="auto"/>
              <w:bottom w:val="single" w:sz="6" w:space="0" w:color="auto"/>
              <w:right w:val="single" w:sz="6" w:space="0" w:color="auto"/>
            </w:tcBorders>
            <w:shd w:val="clear" w:color="auto" w:fill="E8E8E8" w:themeFill="background2"/>
            <w:tcMar>
              <w:left w:w="60" w:type="dxa"/>
              <w:right w:w="60" w:type="dxa"/>
            </w:tcMar>
          </w:tcPr>
          <w:p w14:paraId="75E5F345" w14:textId="1974FBF1" w:rsidR="35BD0857" w:rsidRPr="004611FF" w:rsidRDefault="35BD0857" w:rsidP="35BD0857">
            <w:pPr>
              <w:widowControl w:val="0"/>
              <w:spacing w:after="0" w:line="240" w:lineRule="auto"/>
              <w:jc w:val="right"/>
              <w:rPr>
                <w:rFonts w:eastAsia="Cambria" w:cs="Cambria"/>
                <w:color w:val="000000" w:themeColor="text1"/>
                <w:sz w:val="20"/>
                <w:szCs w:val="20"/>
              </w:rPr>
            </w:pPr>
            <w:r w:rsidRPr="004611FF">
              <w:rPr>
                <w:rFonts w:eastAsia="Cambria" w:cs="Cambria"/>
                <w:b/>
                <w:bCs/>
                <w:color w:val="000000" w:themeColor="text1"/>
                <w:sz w:val="20"/>
                <w:szCs w:val="20"/>
              </w:rPr>
              <w:t>295,18</w:t>
            </w:r>
          </w:p>
        </w:tc>
        <w:tc>
          <w:tcPr>
            <w:tcW w:w="6255" w:type="dxa"/>
            <w:gridSpan w:val="2"/>
            <w:tcBorders>
              <w:top w:val="single" w:sz="6" w:space="0" w:color="auto"/>
              <w:left w:val="single" w:sz="6" w:space="0" w:color="auto"/>
              <w:bottom w:val="single" w:sz="6" w:space="0" w:color="auto"/>
              <w:right w:val="single" w:sz="6" w:space="0" w:color="auto"/>
            </w:tcBorders>
            <w:shd w:val="clear" w:color="auto" w:fill="E8E8E8" w:themeFill="background2"/>
            <w:tcMar>
              <w:left w:w="60" w:type="dxa"/>
              <w:right w:w="60" w:type="dxa"/>
            </w:tcMar>
          </w:tcPr>
          <w:p w14:paraId="042CFEB1" w14:textId="74A959C8" w:rsidR="35BD0857" w:rsidRPr="004611FF" w:rsidRDefault="35BD0857" w:rsidP="35BD0857">
            <w:pPr>
              <w:widowControl w:val="0"/>
              <w:spacing w:after="0" w:line="240" w:lineRule="auto"/>
              <w:rPr>
                <w:rFonts w:eastAsia="Cambria" w:cs="Cambria"/>
                <w:color w:val="000000" w:themeColor="text1"/>
                <w:sz w:val="20"/>
                <w:szCs w:val="20"/>
              </w:rPr>
            </w:pPr>
          </w:p>
        </w:tc>
      </w:tr>
      <w:tr w:rsidR="35BD0857" w:rsidRPr="004611FF" w14:paraId="7BBEB6FB" w14:textId="77777777" w:rsidTr="7D29A2AD">
        <w:trPr>
          <w:trHeight w:val="300"/>
        </w:trPr>
        <w:tc>
          <w:tcPr>
            <w:tcW w:w="1815" w:type="dxa"/>
            <w:tcBorders>
              <w:top w:val="single" w:sz="6" w:space="0" w:color="auto"/>
              <w:left w:val="single" w:sz="6" w:space="0" w:color="auto"/>
              <w:bottom w:val="single" w:sz="6" w:space="0" w:color="auto"/>
              <w:right w:val="single" w:sz="6" w:space="0" w:color="auto"/>
            </w:tcBorders>
            <w:shd w:val="clear" w:color="auto" w:fill="E8E8E8" w:themeFill="background2"/>
            <w:tcMar>
              <w:left w:w="60" w:type="dxa"/>
              <w:right w:w="60" w:type="dxa"/>
            </w:tcMar>
          </w:tcPr>
          <w:p w14:paraId="697D6F79" w14:textId="63D56D77" w:rsidR="35BD0857" w:rsidRPr="004611FF" w:rsidRDefault="35BD0857" w:rsidP="35BD0857">
            <w:pPr>
              <w:widowControl w:val="0"/>
              <w:spacing w:after="0" w:line="240" w:lineRule="auto"/>
              <w:rPr>
                <w:rFonts w:eastAsia="Cambria" w:cs="Cambria"/>
                <w:color w:val="000000" w:themeColor="text1"/>
                <w:sz w:val="20"/>
                <w:szCs w:val="20"/>
              </w:rPr>
            </w:pPr>
            <w:r w:rsidRPr="004611FF">
              <w:rPr>
                <w:rFonts w:eastAsia="Cambria" w:cs="Cambria"/>
                <w:b/>
                <w:bCs/>
                <w:color w:val="000000" w:themeColor="text1"/>
                <w:sz w:val="20"/>
                <w:szCs w:val="20"/>
              </w:rPr>
              <w:t>KÕIK KOKKU:</w:t>
            </w:r>
          </w:p>
        </w:tc>
        <w:tc>
          <w:tcPr>
            <w:tcW w:w="1230" w:type="dxa"/>
            <w:tcBorders>
              <w:top w:val="single" w:sz="6" w:space="0" w:color="auto"/>
              <w:left w:val="single" w:sz="6" w:space="0" w:color="auto"/>
              <w:bottom w:val="single" w:sz="6" w:space="0" w:color="auto"/>
              <w:right w:val="single" w:sz="6" w:space="0" w:color="auto"/>
            </w:tcBorders>
            <w:shd w:val="clear" w:color="auto" w:fill="E8E8E8" w:themeFill="background2"/>
            <w:tcMar>
              <w:left w:w="60" w:type="dxa"/>
              <w:right w:w="60" w:type="dxa"/>
            </w:tcMar>
            <w:vAlign w:val="bottom"/>
          </w:tcPr>
          <w:p w14:paraId="16A62A0C" w14:textId="4A4C2A47" w:rsidR="35BD0857" w:rsidRPr="004611FF" w:rsidRDefault="35BD0857" w:rsidP="35BD0857">
            <w:pPr>
              <w:widowControl w:val="0"/>
              <w:spacing w:after="0" w:line="240" w:lineRule="auto"/>
              <w:jc w:val="right"/>
              <w:rPr>
                <w:rFonts w:eastAsia="Cambria" w:cs="Cambria"/>
                <w:color w:val="000000" w:themeColor="text1"/>
                <w:sz w:val="20"/>
                <w:szCs w:val="20"/>
              </w:rPr>
            </w:pPr>
            <w:r w:rsidRPr="004611FF">
              <w:rPr>
                <w:rFonts w:eastAsia="Cambria" w:cs="Cambria"/>
                <w:b/>
                <w:bCs/>
                <w:color w:val="000000" w:themeColor="text1"/>
                <w:sz w:val="20"/>
                <w:szCs w:val="20"/>
              </w:rPr>
              <w:t>385,88</w:t>
            </w:r>
          </w:p>
        </w:tc>
        <w:tc>
          <w:tcPr>
            <w:tcW w:w="6255" w:type="dxa"/>
            <w:gridSpan w:val="2"/>
            <w:tcBorders>
              <w:top w:val="single" w:sz="6" w:space="0" w:color="auto"/>
              <w:left w:val="single" w:sz="6" w:space="0" w:color="auto"/>
              <w:bottom w:val="single" w:sz="6" w:space="0" w:color="auto"/>
              <w:right w:val="single" w:sz="6" w:space="0" w:color="auto"/>
            </w:tcBorders>
            <w:shd w:val="clear" w:color="auto" w:fill="E8E8E8" w:themeFill="background2"/>
            <w:tcMar>
              <w:left w:w="60" w:type="dxa"/>
              <w:right w:w="60" w:type="dxa"/>
            </w:tcMar>
          </w:tcPr>
          <w:p w14:paraId="32B29E31" w14:textId="4CD0C863" w:rsidR="35BD0857" w:rsidRPr="004611FF" w:rsidRDefault="35BD0857" w:rsidP="35BD0857">
            <w:pPr>
              <w:widowControl w:val="0"/>
              <w:spacing w:after="0" w:line="240" w:lineRule="auto"/>
              <w:rPr>
                <w:rFonts w:eastAsia="Cambria" w:cs="Cambria"/>
                <w:color w:val="000000" w:themeColor="text1"/>
                <w:sz w:val="20"/>
                <w:szCs w:val="20"/>
              </w:rPr>
            </w:pPr>
          </w:p>
        </w:tc>
      </w:tr>
    </w:tbl>
    <w:p w14:paraId="188C73AC" w14:textId="498B1FD1" w:rsidR="00EE52F5" w:rsidRPr="004611FF" w:rsidRDefault="00EE52F5" w:rsidP="35BD0857">
      <w:pPr>
        <w:pStyle w:val="Normaallaadveeb"/>
        <w:jc w:val="both"/>
        <w:rPr>
          <w:rStyle w:val="normaltextrun"/>
          <w:rFonts w:asciiTheme="minorHAnsi" w:eastAsiaTheme="majorEastAsia" w:hAnsiTheme="minorHAnsi"/>
          <w:color w:val="000000"/>
          <w:sz w:val="22"/>
          <w:szCs w:val="22"/>
          <w:shd w:val="clear" w:color="auto" w:fill="FFFFFF"/>
        </w:rPr>
      </w:pPr>
      <w:r w:rsidRPr="004611FF">
        <w:rPr>
          <w:rStyle w:val="eop"/>
          <w:rFonts w:asciiTheme="minorHAnsi" w:eastAsiaTheme="majorEastAsia" w:hAnsiTheme="minorHAnsi"/>
          <w:color w:val="000000"/>
          <w:shd w:val="clear" w:color="auto" w:fill="FFFFFF"/>
        </w:rPr>
        <w:t>„Ühtekuuluvuspoliitika fondide rakenduskava perioodiks 2021</w:t>
      </w:r>
      <w:r w:rsidR="59EE6215" w:rsidRPr="2999F8CB">
        <w:rPr>
          <w:rFonts w:asciiTheme="minorHAnsi" w:hAnsiTheme="minorHAnsi"/>
        </w:rPr>
        <w:t>–</w:t>
      </w:r>
      <w:r w:rsidRPr="004611FF">
        <w:rPr>
          <w:rStyle w:val="eop"/>
          <w:rFonts w:asciiTheme="minorHAnsi" w:eastAsiaTheme="majorEastAsia" w:hAnsiTheme="minorHAnsi"/>
          <w:color w:val="000000"/>
          <w:shd w:val="clear" w:color="auto" w:fill="FFFFFF"/>
        </w:rPr>
        <w:t>2027“</w:t>
      </w:r>
      <w:r w:rsidR="005E451B" w:rsidRPr="004611FF">
        <w:rPr>
          <w:rStyle w:val="eop"/>
          <w:rFonts w:asciiTheme="minorHAnsi" w:eastAsiaTheme="majorEastAsia" w:hAnsiTheme="minorHAnsi"/>
          <w:color w:val="000000"/>
          <w:shd w:val="clear" w:color="auto" w:fill="FFFFFF"/>
        </w:rPr>
        <w:t xml:space="preserve"> tegevused teostatakse vahemikus </w:t>
      </w:r>
      <w:r w:rsidR="00EC5296" w:rsidRPr="004611FF">
        <w:rPr>
          <w:rStyle w:val="eop"/>
          <w:rFonts w:asciiTheme="minorHAnsi" w:eastAsiaTheme="majorEastAsia" w:hAnsiTheme="minorHAnsi"/>
          <w:color w:val="000000"/>
          <w:shd w:val="clear" w:color="auto" w:fill="FFFFFF"/>
        </w:rPr>
        <w:t xml:space="preserve">2021 kuni 31.12.2029. Rakenduskava 4. muudatus annab võimaluse </w:t>
      </w:r>
      <w:r w:rsidR="00D76831" w:rsidRPr="004611FF">
        <w:rPr>
          <w:rStyle w:val="eop"/>
          <w:rFonts w:asciiTheme="minorHAnsi" w:eastAsiaTheme="majorEastAsia" w:hAnsiTheme="minorHAnsi"/>
          <w:color w:val="000000"/>
          <w:shd w:val="clear" w:color="auto" w:fill="FFFFFF"/>
        </w:rPr>
        <w:t>pikendada kogu rakenduskava elluviimise perioodi senise 2029. aasta asemel 2030. aasta lõpuni eeldusel, et vähemalt 7% rakenduskava rahaliste vahenditest suunatakse ümber uutesse erieesmärkidesse.</w:t>
      </w:r>
    </w:p>
    <w:p w14:paraId="75C16755" w14:textId="77777777" w:rsidR="00EE52F5" w:rsidRDefault="00EE52F5" w:rsidP="35BD0857">
      <w:pPr>
        <w:pStyle w:val="Normaallaadveeb"/>
        <w:jc w:val="both"/>
        <w:rPr>
          <w:rStyle w:val="normaltextrun"/>
          <w:rFonts w:ascii="Cambria" w:eastAsiaTheme="majorEastAsia" w:hAnsi="Cambria"/>
          <w:color w:val="000000"/>
          <w:sz w:val="22"/>
          <w:szCs w:val="22"/>
          <w:shd w:val="clear" w:color="auto" w:fill="FFFFFF"/>
        </w:rPr>
      </w:pPr>
    </w:p>
    <w:p w14:paraId="2A106B10" w14:textId="6F9886E4" w:rsidR="35BD0857" w:rsidRPr="00BC4C6D" w:rsidRDefault="0B7516BC" w:rsidP="00C453AE">
      <w:pPr>
        <w:pStyle w:val="Pealkiri1"/>
        <w:numPr>
          <w:ilvl w:val="0"/>
          <w:numId w:val="14"/>
        </w:numPr>
        <w:rPr>
          <w:rStyle w:val="eop"/>
        </w:rPr>
      </w:pPr>
      <w:bookmarkStart w:id="5" w:name="_Toc397537212"/>
      <w:bookmarkStart w:id="6" w:name="_Toc213770829"/>
      <w:r w:rsidRPr="4919EC1B">
        <w:rPr>
          <w:rStyle w:val="eop"/>
        </w:rPr>
        <w:t>Seotus teiste strateegiliste planeerimisdokumentidega</w:t>
      </w:r>
      <w:bookmarkEnd w:id="5"/>
      <w:bookmarkEnd w:id="6"/>
    </w:p>
    <w:p w14:paraId="1B6CD13D" w14:textId="442ED7FD" w:rsidR="00551C73" w:rsidRPr="004611FF" w:rsidRDefault="18046968" w:rsidP="4919EC1B">
      <w:pPr>
        <w:pStyle w:val="Normaallaadveeb"/>
        <w:jc w:val="both"/>
        <w:rPr>
          <w:rStyle w:val="eop"/>
          <w:rFonts w:asciiTheme="minorHAnsi" w:eastAsiaTheme="majorEastAsia" w:hAnsiTheme="minorHAnsi"/>
          <w:color w:val="000000"/>
          <w:shd w:val="clear" w:color="auto" w:fill="FFFFFF"/>
        </w:rPr>
      </w:pPr>
      <w:r w:rsidRPr="4919EC1B">
        <w:rPr>
          <w:rStyle w:val="normaltextrun"/>
          <w:rFonts w:asciiTheme="minorHAnsi" w:eastAsiaTheme="majorEastAsia" w:hAnsiTheme="minorHAnsi"/>
          <w:color w:val="000000"/>
          <w:shd w:val="clear" w:color="auto" w:fill="FFFFFF"/>
        </w:rPr>
        <w:t>Eesti julgeolekuolukorra kriitilisust kinnitavad</w:t>
      </w:r>
      <w:r w:rsidR="63F2E02D" w:rsidRPr="4919EC1B">
        <w:rPr>
          <w:rStyle w:val="normaltextrun"/>
          <w:rFonts w:asciiTheme="minorHAnsi" w:eastAsiaTheme="majorEastAsia" w:hAnsiTheme="minorHAnsi"/>
          <w:color w:val="000000"/>
          <w:shd w:val="clear" w:color="auto" w:fill="FFFFFF"/>
        </w:rPr>
        <w:t xml:space="preserve"> Euroopa </w:t>
      </w:r>
      <w:r w:rsidR="4EAC8F88" w:rsidRPr="4919EC1B">
        <w:rPr>
          <w:rStyle w:val="normaltextrun"/>
          <w:rFonts w:asciiTheme="minorHAnsi" w:eastAsiaTheme="majorEastAsia" w:hAnsiTheme="minorHAnsi"/>
          <w:color w:val="000000"/>
          <w:shd w:val="clear" w:color="auto" w:fill="FFFFFF"/>
        </w:rPr>
        <w:t>Nõu</w:t>
      </w:r>
      <w:r w:rsidR="63AE709F" w:rsidRPr="4919EC1B">
        <w:rPr>
          <w:rStyle w:val="normaltextrun"/>
          <w:rFonts w:asciiTheme="minorHAnsi" w:eastAsiaTheme="majorEastAsia" w:hAnsiTheme="minorHAnsi"/>
          <w:color w:val="000000"/>
          <w:shd w:val="clear" w:color="auto" w:fill="FFFFFF"/>
        </w:rPr>
        <w:t>kogu</w:t>
      </w:r>
      <w:r w:rsidRPr="4919EC1B">
        <w:rPr>
          <w:rStyle w:val="normaltextrun"/>
          <w:rFonts w:asciiTheme="minorHAnsi" w:eastAsiaTheme="majorEastAsia" w:hAnsiTheme="minorHAnsi"/>
          <w:color w:val="000000"/>
          <w:shd w:val="clear" w:color="auto" w:fill="FFFFFF"/>
        </w:rPr>
        <w:t xml:space="preserve"> </w:t>
      </w:r>
      <w:r w:rsidRPr="4919EC1B">
        <w:rPr>
          <w:rStyle w:val="normaltextrun"/>
          <w:rFonts w:asciiTheme="minorHAnsi" w:eastAsiaTheme="majorEastAsia" w:hAnsiTheme="minorHAnsi"/>
          <w:b/>
          <w:bCs/>
          <w:color w:val="000000"/>
          <w:shd w:val="clear" w:color="auto" w:fill="FFFFFF"/>
        </w:rPr>
        <w:t>riigipõhised soovitused</w:t>
      </w:r>
      <w:r w:rsidRPr="4919EC1B">
        <w:rPr>
          <w:rStyle w:val="normaltextrun"/>
          <w:rFonts w:asciiTheme="minorHAnsi" w:eastAsiaTheme="majorEastAsia" w:hAnsiTheme="minorHAnsi"/>
          <w:color w:val="000000"/>
          <w:shd w:val="clear" w:color="auto" w:fill="FFFFFF"/>
        </w:rPr>
        <w:t>. 2025. aasta esimene soovitus Eestile on: „Suurendada kooskõlas Euroopa Ülemkogu 6. märtsi 2025. aasta järeldustega üldisi kaitse- ja julgeolekukulutusi ja üldist kaitsevalmidust, tagades samal ajal võla jätkusuutlikkuse“. Eesti on oma agressiivse naabri Venemaa geopoliitika tõttu olnud üks kaitsesse raha suunamisse eeskõneleja, kuna oma julgeoleku peab Eesti eelkõige ise riigina tagama. Eesti kaitsekulud 2026. a. ületavad 5%. </w:t>
      </w:r>
      <w:r w:rsidRPr="4919EC1B">
        <w:rPr>
          <w:rStyle w:val="eop"/>
          <w:rFonts w:asciiTheme="minorHAnsi" w:eastAsiaTheme="majorEastAsia" w:hAnsiTheme="minorHAnsi"/>
          <w:color w:val="000000"/>
          <w:shd w:val="clear" w:color="auto" w:fill="FFFFFF"/>
        </w:rPr>
        <w:t> </w:t>
      </w:r>
    </w:p>
    <w:p w14:paraId="4D96244D" w14:textId="1BFF210D" w:rsidR="009B35BF" w:rsidRPr="004611FF" w:rsidRDefault="008A307C" w:rsidP="009B35BF">
      <w:pPr>
        <w:pStyle w:val="paragraph"/>
        <w:spacing w:before="0" w:beforeAutospacing="0" w:after="0" w:afterAutospacing="0"/>
        <w:jc w:val="both"/>
        <w:textAlignment w:val="baseline"/>
        <w:rPr>
          <w:rFonts w:asciiTheme="minorHAnsi" w:hAnsiTheme="minorHAnsi"/>
        </w:rPr>
      </w:pPr>
      <w:r w:rsidRPr="00C10A02">
        <w:rPr>
          <w:rStyle w:val="normaltextrun"/>
          <w:rFonts w:asciiTheme="minorHAnsi" w:eastAsiaTheme="minorEastAsia" w:hAnsiTheme="minorHAnsi" w:cstheme="minorBidi"/>
        </w:rPr>
        <w:t xml:space="preserve">Riigikogu poolt 12. mail 2021. aastal kinnitatud </w:t>
      </w:r>
      <w:r w:rsidRPr="00C10A02">
        <w:rPr>
          <w:rStyle w:val="normaltextrun"/>
          <w:rFonts w:asciiTheme="minorHAnsi" w:eastAsiaTheme="minorEastAsia" w:hAnsiTheme="minorHAnsi" w:cstheme="minorBidi"/>
          <w:b/>
        </w:rPr>
        <w:t xml:space="preserve">Eesti pikaajaline strateegia </w:t>
      </w:r>
      <w:r w:rsidR="009B35BF" w:rsidRPr="00C10A02">
        <w:rPr>
          <w:rStyle w:val="normaltextrun"/>
          <w:rFonts w:asciiTheme="minorHAnsi" w:eastAsiaTheme="minorEastAsia" w:hAnsiTheme="minorHAnsi" w:cstheme="minorBidi"/>
          <w:b/>
        </w:rPr>
        <w:t>Eesti 2035</w:t>
      </w:r>
      <w:r w:rsidR="002853FE" w:rsidRPr="004611FF">
        <w:rPr>
          <w:rStyle w:val="Allmrkuseviide"/>
          <w:rFonts w:asciiTheme="minorHAnsi" w:eastAsiaTheme="majorEastAsia" w:hAnsiTheme="minorHAnsi"/>
        </w:rPr>
        <w:footnoteReference w:id="3"/>
      </w:r>
      <w:r w:rsidR="009B35BF" w:rsidRPr="00C10A02">
        <w:rPr>
          <w:rStyle w:val="normaltextrun"/>
          <w:rFonts w:asciiTheme="minorHAnsi" w:eastAsiaTheme="minorEastAsia" w:hAnsiTheme="minorHAnsi" w:cstheme="minorBidi"/>
        </w:rPr>
        <w:t xml:space="preserve"> on samuti kirjeldanud kaitsevõimekuse suurendamise vajadust strateegilistes </w:t>
      </w:r>
      <w:r w:rsidR="00DE6B4F" w:rsidRPr="00C10A02">
        <w:rPr>
          <w:rStyle w:val="normaltextrun"/>
          <w:rFonts w:asciiTheme="minorHAnsi" w:eastAsiaTheme="minorEastAsia" w:hAnsiTheme="minorHAnsi" w:cstheme="minorBidi"/>
        </w:rPr>
        <w:t>sihtides</w:t>
      </w:r>
      <w:r w:rsidR="009B35BF" w:rsidRPr="00C10A02">
        <w:rPr>
          <w:rStyle w:val="normaltextrun"/>
          <w:rFonts w:asciiTheme="minorHAnsi" w:eastAsiaTheme="minorEastAsia" w:hAnsiTheme="minorHAnsi" w:cstheme="minorBidi"/>
        </w:rPr>
        <w:t>:</w:t>
      </w:r>
      <w:r w:rsidR="009B35BF" w:rsidRPr="00C10A02">
        <w:rPr>
          <w:rStyle w:val="eop"/>
          <w:rFonts w:asciiTheme="minorHAnsi" w:eastAsiaTheme="minorEastAsia" w:hAnsiTheme="minorHAnsi" w:cstheme="minorBidi"/>
        </w:rPr>
        <w:t> </w:t>
      </w:r>
    </w:p>
    <w:p w14:paraId="13FB836E" w14:textId="77777777" w:rsidR="009B35BF" w:rsidRPr="004611FF" w:rsidRDefault="009B35BF" w:rsidP="009B35BF">
      <w:pPr>
        <w:pStyle w:val="paragraph"/>
        <w:numPr>
          <w:ilvl w:val="0"/>
          <w:numId w:val="9"/>
        </w:numPr>
        <w:spacing w:before="0" w:beforeAutospacing="0" w:after="0" w:afterAutospacing="0"/>
        <w:ind w:firstLine="0"/>
        <w:jc w:val="both"/>
        <w:textAlignment w:val="baseline"/>
        <w:rPr>
          <w:rFonts w:asciiTheme="minorHAnsi" w:hAnsiTheme="minorHAnsi"/>
        </w:rPr>
      </w:pPr>
      <w:r w:rsidRPr="004611FF">
        <w:rPr>
          <w:rStyle w:val="normaltextrun"/>
          <w:rFonts w:asciiTheme="minorHAnsi" w:eastAsiaTheme="majorEastAsia" w:hAnsiTheme="minorHAnsi"/>
        </w:rPr>
        <w:t>Eesti julgeoleku tagatiseks on liikmesus ja panus NATOs ja Euroopa Liidus ning tihe koostöö liitlaste ja teiste rahvusvaheliste partneritega.</w:t>
      </w:r>
      <w:r w:rsidRPr="004611FF">
        <w:rPr>
          <w:rStyle w:val="eop"/>
          <w:rFonts w:asciiTheme="minorHAnsi" w:eastAsiaTheme="majorEastAsia" w:hAnsiTheme="minorHAnsi"/>
        </w:rPr>
        <w:t> </w:t>
      </w:r>
    </w:p>
    <w:p w14:paraId="32EDC431" w14:textId="77777777" w:rsidR="009B35BF" w:rsidRPr="004611FF" w:rsidRDefault="009B35BF" w:rsidP="009B35BF">
      <w:pPr>
        <w:pStyle w:val="paragraph"/>
        <w:numPr>
          <w:ilvl w:val="0"/>
          <w:numId w:val="10"/>
        </w:numPr>
        <w:spacing w:before="0" w:beforeAutospacing="0" w:after="0" w:afterAutospacing="0"/>
        <w:ind w:firstLine="0"/>
        <w:jc w:val="both"/>
        <w:textAlignment w:val="baseline"/>
        <w:rPr>
          <w:rFonts w:asciiTheme="minorHAnsi" w:hAnsiTheme="minorHAnsi"/>
        </w:rPr>
      </w:pPr>
      <w:r w:rsidRPr="004611FF">
        <w:rPr>
          <w:rStyle w:val="normaltextrun"/>
          <w:rFonts w:asciiTheme="minorHAnsi" w:eastAsiaTheme="majorEastAsia" w:hAnsiTheme="minorHAnsi"/>
        </w:rPr>
        <w:t>Eesti riigikaitse tagavad iseseisev kaitsevõime ja kollektiivkaitse, mida kindlustab tugev kaitsetahe. Kaitsekulud on vähemalt 2 protsenti SKP-st</w:t>
      </w:r>
      <w:r w:rsidRPr="004611FF">
        <w:rPr>
          <w:rStyle w:val="superscript"/>
          <w:rFonts w:asciiTheme="minorHAnsi" w:eastAsiaTheme="majorEastAsia" w:hAnsiTheme="minorHAnsi"/>
          <w:vertAlign w:val="superscript"/>
        </w:rPr>
        <w:t>6</w:t>
      </w:r>
      <w:r w:rsidRPr="004611FF">
        <w:rPr>
          <w:rStyle w:val="normaltextrun"/>
          <w:rFonts w:asciiTheme="minorHAnsi" w:eastAsiaTheme="majorEastAsia" w:hAnsiTheme="minorHAnsi"/>
        </w:rPr>
        <w:t xml:space="preserve"> ja püsivad kooskõlas kujuneva ohupildiga.</w:t>
      </w:r>
      <w:r w:rsidRPr="004611FF">
        <w:rPr>
          <w:rStyle w:val="eop"/>
          <w:rFonts w:asciiTheme="minorHAnsi" w:eastAsiaTheme="majorEastAsia" w:hAnsiTheme="minorHAnsi"/>
        </w:rPr>
        <w:t> </w:t>
      </w:r>
    </w:p>
    <w:p w14:paraId="3C8A6F62" w14:textId="49709621" w:rsidR="008A307C" w:rsidRPr="004611FF" w:rsidRDefault="009B35BF" w:rsidP="008A307C">
      <w:pPr>
        <w:pStyle w:val="paragraph"/>
        <w:numPr>
          <w:ilvl w:val="0"/>
          <w:numId w:val="11"/>
        </w:numPr>
        <w:spacing w:before="0" w:beforeAutospacing="0" w:after="0" w:afterAutospacing="0"/>
        <w:ind w:firstLine="0"/>
        <w:jc w:val="both"/>
        <w:textAlignment w:val="baseline"/>
        <w:rPr>
          <w:rFonts w:asciiTheme="minorHAnsi" w:hAnsiTheme="minorHAnsi"/>
        </w:rPr>
      </w:pPr>
      <w:r w:rsidRPr="004611FF">
        <w:rPr>
          <w:rStyle w:val="normaltextrun"/>
          <w:rFonts w:asciiTheme="minorHAnsi" w:eastAsiaTheme="majorEastAsia" w:hAnsiTheme="minorHAnsi"/>
        </w:rPr>
        <w:t>Eesti riigikaitse korralduse alus on riigikaitse lai käsitus – riigikaitsesse tuleb anda oma panus igal inimesel. </w:t>
      </w:r>
      <w:r w:rsidRPr="004611FF">
        <w:rPr>
          <w:rStyle w:val="eop"/>
          <w:rFonts w:asciiTheme="minorHAnsi" w:eastAsiaTheme="majorEastAsia" w:hAnsiTheme="minorHAnsi"/>
        </w:rPr>
        <w:t> </w:t>
      </w:r>
    </w:p>
    <w:p w14:paraId="1303D9B1" w14:textId="6B6C61E7" w:rsidR="008C7D13" w:rsidRPr="0036366A" w:rsidRDefault="00F464F6" w:rsidP="008A54D2">
      <w:pPr>
        <w:pStyle w:val="Normaallaadveeb"/>
        <w:jc w:val="both"/>
        <w:rPr>
          <w:rStyle w:val="eop"/>
          <w:rFonts w:asciiTheme="minorHAnsi" w:eastAsiaTheme="majorEastAsia" w:hAnsiTheme="minorHAnsi"/>
          <w:color w:val="000000"/>
          <w:shd w:val="clear" w:color="auto" w:fill="FFFFFF"/>
        </w:rPr>
      </w:pPr>
      <w:r w:rsidRPr="00C10A02">
        <w:rPr>
          <w:rStyle w:val="normaltextrun"/>
          <w:rFonts w:asciiTheme="minorHAnsi" w:eastAsiaTheme="minorEastAsia" w:hAnsiTheme="minorHAnsi" w:cstheme="minorBidi"/>
          <w:color w:val="000000"/>
          <w:shd w:val="clear" w:color="auto" w:fill="FFFFFF"/>
        </w:rPr>
        <w:t>Tulemus</w:t>
      </w:r>
      <w:r w:rsidR="00577300" w:rsidRPr="00C10A02">
        <w:rPr>
          <w:rStyle w:val="normaltextrun"/>
          <w:rFonts w:asciiTheme="minorHAnsi" w:eastAsiaTheme="minorEastAsia" w:hAnsiTheme="minorHAnsi" w:cstheme="minorBidi"/>
          <w:color w:val="000000"/>
          <w:shd w:val="clear" w:color="auto" w:fill="FFFFFF"/>
        </w:rPr>
        <w:t xml:space="preserve">valdkonna </w:t>
      </w:r>
      <w:r w:rsidR="009913D8" w:rsidRPr="00C10A02">
        <w:rPr>
          <w:rStyle w:val="normaltextrun"/>
          <w:rFonts w:asciiTheme="minorHAnsi" w:eastAsiaTheme="minorEastAsia" w:hAnsiTheme="minorHAnsi" w:cstheme="minorBidi"/>
          <w:color w:val="000000"/>
          <w:shd w:val="clear" w:color="auto" w:fill="FFFFFF"/>
        </w:rPr>
        <w:t>„Julgeolek ja riigikaitse“</w:t>
      </w:r>
      <w:r w:rsidR="00577300" w:rsidRPr="00C10A02">
        <w:rPr>
          <w:rStyle w:val="normaltextrun"/>
          <w:rFonts w:asciiTheme="minorHAnsi" w:eastAsiaTheme="minorEastAsia" w:hAnsiTheme="minorHAnsi" w:cstheme="minorBidi"/>
          <w:color w:val="000000"/>
          <w:shd w:val="clear" w:color="auto" w:fill="FFFFFF"/>
        </w:rPr>
        <w:t xml:space="preserve">, mille strateegiadokumentideks on </w:t>
      </w:r>
      <w:r w:rsidR="00577300" w:rsidRPr="00C10A02">
        <w:rPr>
          <w:rStyle w:val="normaltextrun"/>
          <w:rFonts w:asciiTheme="minorHAnsi" w:eastAsiaTheme="minorEastAsia" w:hAnsiTheme="minorHAnsi" w:cstheme="minorBidi"/>
          <w:b/>
          <w:color w:val="000000"/>
          <w:shd w:val="clear" w:color="auto" w:fill="FFFFFF"/>
        </w:rPr>
        <w:t>Eesti julgeolekupoliitika alused</w:t>
      </w:r>
      <w:r w:rsidR="00577300" w:rsidRPr="00C10A02">
        <w:rPr>
          <w:rStyle w:val="normaltextrun"/>
          <w:rFonts w:asciiTheme="minorHAnsi" w:eastAsiaTheme="minorEastAsia" w:hAnsiTheme="minorHAnsi" w:cstheme="minorBidi"/>
          <w:color w:val="000000"/>
          <w:shd w:val="clear" w:color="auto" w:fill="FFFFFF"/>
        </w:rPr>
        <w:t xml:space="preserve"> ja </w:t>
      </w:r>
      <w:r w:rsidR="00577300" w:rsidRPr="00C10A02">
        <w:rPr>
          <w:rStyle w:val="normaltextrun"/>
          <w:rFonts w:asciiTheme="minorHAnsi" w:eastAsiaTheme="minorEastAsia" w:hAnsiTheme="minorHAnsi" w:cstheme="minorBidi"/>
          <w:b/>
          <w:color w:val="000000"/>
          <w:shd w:val="clear" w:color="auto" w:fill="FFFFFF"/>
        </w:rPr>
        <w:t>Riigikaitse arengukava</w:t>
      </w:r>
      <w:r w:rsidR="00577300" w:rsidRPr="2999F8CB">
        <w:rPr>
          <w:rStyle w:val="normaltextrun"/>
          <w:rFonts w:asciiTheme="minorHAnsi" w:eastAsiaTheme="minorEastAsia" w:hAnsiTheme="minorHAnsi" w:cstheme="minorBidi"/>
          <w:b/>
          <w:color w:val="000000"/>
          <w:shd w:val="clear" w:color="auto" w:fill="FFFFFF"/>
        </w:rPr>
        <w:t xml:space="preserve"> 2022</w:t>
      </w:r>
      <w:r w:rsidR="27FE4BC4" w:rsidRPr="2999F8CB">
        <w:rPr>
          <w:rFonts w:asciiTheme="minorHAnsi" w:hAnsiTheme="minorHAnsi"/>
        </w:rPr>
        <w:t>–</w:t>
      </w:r>
      <w:r w:rsidR="00577300" w:rsidRPr="2999F8CB">
        <w:rPr>
          <w:rStyle w:val="normaltextrun"/>
          <w:rFonts w:asciiTheme="minorHAnsi" w:eastAsiaTheme="minorEastAsia" w:hAnsiTheme="minorHAnsi" w:cstheme="minorBidi"/>
          <w:b/>
          <w:color w:val="000000"/>
          <w:shd w:val="clear" w:color="auto" w:fill="FFFFFF"/>
        </w:rPr>
        <w:t>2031</w:t>
      </w:r>
      <w:r w:rsidR="007911FB" w:rsidRPr="2999F8CB">
        <w:rPr>
          <w:rStyle w:val="normaltextrun"/>
          <w:rFonts w:asciiTheme="minorHAnsi" w:eastAsiaTheme="minorEastAsia" w:hAnsiTheme="minorHAnsi" w:cstheme="minorBidi"/>
          <w:color w:val="000000"/>
          <w:shd w:val="clear" w:color="auto" w:fill="FFFFFF"/>
        </w:rPr>
        <w:t>,</w:t>
      </w:r>
      <w:r w:rsidR="009913D8" w:rsidRPr="00C10A02">
        <w:rPr>
          <w:rStyle w:val="normaltextrun"/>
          <w:rFonts w:asciiTheme="minorHAnsi" w:eastAsiaTheme="minorEastAsia" w:hAnsiTheme="minorHAnsi" w:cstheme="minorBidi"/>
          <w:color w:val="000000"/>
          <w:shd w:val="clear" w:color="auto" w:fill="FFFFFF"/>
        </w:rPr>
        <w:t xml:space="preserve"> 2024. aasta tulemusaruandes</w:t>
      </w:r>
      <w:r w:rsidR="00260B4E" w:rsidRPr="0036366A">
        <w:rPr>
          <w:rStyle w:val="Allmrkuseviide"/>
          <w:rFonts w:asciiTheme="minorHAnsi" w:eastAsiaTheme="majorEastAsia" w:hAnsiTheme="minorHAnsi"/>
          <w:color w:val="000000"/>
          <w:shd w:val="clear" w:color="auto" w:fill="FFFFFF"/>
        </w:rPr>
        <w:footnoteReference w:id="4"/>
      </w:r>
      <w:r w:rsidR="009913D8" w:rsidRPr="00C10A02">
        <w:rPr>
          <w:rStyle w:val="normaltextrun"/>
          <w:rFonts w:asciiTheme="minorHAnsi" w:eastAsiaTheme="minorEastAsia" w:hAnsiTheme="minorHAnsi" w:cstheme="minorBidi"/>
          <w:color w:val="000000"/>
          <w:shd w:val="clear" w:color="auto" w:fill="FFFFFF"/>
        </w:rPr>
        <w:t xml:space="preserve"> tuuakse välja kaitsekulude kasvatamise kiire vajadus, kuna Venemaa jätkuv agressioon Ukraina vastu ja üldine julgeolekukeskkonna halvenemine maailmas on seadnud Eesti väga keerulisse julgeolekuolukorda, mistõttu on sõjalise riigikaitse </w:t>
      </w:r>
      <w:r w:rsidR="009913D8" w:rsidRPr="00C10A02">
        <w:rPr>
          <w:rStyle w:val="normaltextrun"/>
          <w:rFonts w:asciiTheme="minorHAnsi" w:eastAsiaTheme="minorEastAsia" w:hAnsiTheme="minorHAnsi" w:cstheme="minorBidi"/>
          <w:color w:val="000000"/>
          <w:shd w:val="clear" w:color="auto" w:fill="FFFFFF"/>
        </w:rPr>
        <w:lastRenderedPageBreak/>
        <w:t>kiirkorras arendamine Eesti riigi püsimajäämise seisukohalt nii täna kui ka lähitulevikus vältimatu. </w:t>
      </w:r>
      <w:r w:rsidR="009913D8" w:rsidRPr="00C10A02">
        <w:rPr>
          <w:rStyle w:val="eop"/>
          <w:rFonts w:asciiTheme="minorHAnsi" w:eastAsiaTheme="minorEastAsia" w:hAnsiTheme="minorHAnsi" w:cstheme="minorBidi"/>
          <w:color w:val="000000"/>
          <w:shd w:val="clear" w:color="auto" w:fill="FFFFFF"/>
        </w:rPr>
        <w:t> </w:t>
      </w:r>
    </w:p>
    <w:p w14:paraId="34FC6A7D" w14:textId="163C3366" w:rsidR="00225FCE" w:rsidRPr="0036366A" w:rsidRDefault="00225FCE" w:rsidP="008A54D2">
      <w:pPr>
        <w:pStyle w:val="Normaallaadveeb"/>
        <w:jc w:val="both"/>
        <w:rPr>
          <w:rStyle w:val="eop"/>
          <w:rFonts w:asciiTheme="minorHAnsi" w:eastAsiaTheme="majorEastAsia" w:hAnsiTheme="minorHAnsi"/>
          <w:color w:val="000000"/>
          <w:shd w:val="clear" w:color="auto" w:fill="FFFFFF"/>
        </w:rPr>
      </w:pPr>
      <w:r w:rsidRPr="00C10A02">
        <w:rPr>
          <w:rStyle w:val="normaltextrun"/>
          <w:rFonts w:asciiTheme="minorHAnsi" w:eastAsiaTheme="minorEastAsia" w:hAnsiTheme="minorHAnsi" w:cstheme="minorBidi"/>
          <w:color w:val="000000"/>
          <w:shd w:val="clear" w:color="auto" w:fill="FFFFFF"/>
        </w:rPr>
        <w:t xml:space="preserve">HTM, </w:t>
      </w:r>
      <w:proofErr w:type="spellStart"/>
      <w:r w:rsidRPr="00C10A02">
        <w:rPr>
          <w:rStyle w:val="normaltextrun"/>
          <w:rFonts w:asciiTheme="minorHAnsi" w:eastAsiaTheme="minorEastAsia" w:hAnsiTheme="minorHAnsi" w:cstheme="minorBidi"/>
          <w:color w:val="000000"/>
          <w:shd w:val="clear" w:color="auto" w:fill="FFFFFF"/>
        </w:rPr>
        <w:t>MKMi</w:t>
      </w:r>
      <w:proofErr w:type="spellEnd"/>
      <w:r w:rsidRPr="00C10A02">
        <w:rPr>
          <w:rStyle w:val="normaltextrun"/>
          <w:rFonts w:asciiTheme="minorHAnsi" w:eastAsiaTheme="minorEastAsia" w:hAnsiTheme="minorHAnsi" w:cstheme="minorBidi"/>
          <w:color w:val="000000"/>
          <w:shd w:val="clear" w:color="auto" w:fill="FFFFFF"/>
        </w:rPr>
        <w:t xml:space="preserve"> ja </w:t>
      </w:r>
      <w:proofErr w:type="spellStart"/>
      <w:r w:rsidRPr="00C10A02">
        <w:rPr>
          <w:rStyle w:val="normaltextrun"/>
          <w:rFonts w:asciiTheme="minorHAnsi" w:eastAsiaTheme="minorEastAsia" w:hAnsiTheme="minorHAnsi" w:cstheme="minorBidi"/>
          <w:color w:val="000000"/>
          <w:shd w:val="clear" w:color="auto" w:fill="FFFFFF"/>
        </w:rPr>
        <w:t>KLIMi</w:t>
      </w:r>
      <w:proofErr w:type="spellEnd"/>
      <w:r w:rsidRPr="00C10A02">
        <w:rPr>
          <w:rStyle w:val="normaltextrun"/>
          <w:rFonts w:asciiTheme="minorHAnsi" w:eastAsiaTheme="minorEastAsia" w:hAnsiTheme="minorHAnsi" w:cstheme="minorBidi"/>
          <w:color w:val="000000"/>
          <w:shd w:val="clear" w:color="auto" w:fill="FFFFFF"/>
        </w:rPr>
        <w:t xml:space="preserve"> ühiselt hallatava tulemusvaldkonna </w:t>
      </w:r>
      <w:r w:rsidRPr="00C10A02">
        <w:rPr>
          <w:rStyle w:val="normaltextrun"/>
          <w:rFonts w:asciiTheme="minorHAnsi" w:eastAsiaTheme="minorEastAsia" w:hAnsiTheme="minorHAnsi" w:cstheme="minorBidi"/>
          <w:shd w:val="clear" w:color="auto" w:fill="FFFFFF"/>
        </w:rPr>
        <w:t xml:space="preserve">teadus ja arendustegevus </w:t>
      </w:r>
      <w:r w:rsidRPr="00C10A02">
        <w:rPr>
          <w:rStyle w:val="normaltextrun"/>
          <w:rFonts w:asciiTheme="minorHAnsi" w:eastAsiaTheme="minorEastAsia" w:hAnsiTheme="minorHAnsi" w:cstheme="minorBidi"/>
          <w:color w:val="000000"/>
          <w:shd w:val="clear" w:color="auto" w:fill="FFFFFF"/>
        </w:rPr>
        <w:t>ning ettevõtlus tulemusaruandes</w:t>
      </w:r>
      <w:r w:rsidR="00935840" w:rsidRPr="0036366A">
        <w:rPr>
          <w:rStyle w:val="Allmrkuseviide"/>
          <w:rFonts w:asciiTheme="minorHAnsi" w:eastAsiaTheme="majorEastAsia" w:hAnsiTheme="minorHAnsi"/>
          <w:color w:val="000000"/>
          <w:shd w:val="clear" w:color="auto" w:fill="FFFFFF"/>
        </w:rPr>
        <w:footnoteReference w:id="5"/>
      </w:r>
      <w:r w:rsidRPr="00C10A02">
        <w:rPr>
          <w:rStyle w:val="normaltextrun"/>
          <w:rFonts w:asciiTheme="minorHAnsi" w:eastAsiaTheme="minorEastAsia" w:hAnsiTheme="minorHAnsi" w:cstheme="minorBidi"/>
          <w:color w:val="000000"/>
          <w:shd w:val="clear" w:color="auto" w:fill="FFFFFF"/>
        </w:rPr>
        <w:t xml:space="preserve"> nimetatakse väljakutsena seda, et Venemaa agressioon ja laiem julgeolekukriis mõjutavad Eesti teadus- ja arendustegevuse suundi ning ettevõtete tegevusvaldkondi. Esile on kerkinud uued strateegiliselt olulised sektorid, nagu kaitsetööstus, millel on suur innovatsioonipotentsiaal, ent ka märkimisväärne ressursivajadus. Seega on põhjendatud </w:t>
      </w:r>
      <w:proofErr w:type="spellStart"/>
      <w:r w:rsidRPr="00C10A02">
        <w:rPr>
          <w:rStyle w:val="normaltextrun"/>
          <w:rFonts w:asciiTheme="minorHAnsi" w:eastAsiaTheme="minorEastAsia" w:hAnsiTheme="minorHAnsi" w:cstheme="minorBidi"/>
          <w:color w:val="000000"/>
          <w:shd w:val="clear" w:color="auto" w:fill="FFFFFF"/>
        </w:rPr>
        <w:t>HTMi</w:t>
      </w:r>
      <w:proofErr w:type="spellEnd"/>
      <w:r w:rsidRPr="00C10A02">
        <w:rPr>
          <w:rStyle w:val="normaltextrun"/>
          <w:rFonts w:asciiTheme="minorHAnsi" w:eastAsiaTheme="minorEastAsia" w:hAnsiTheme="minorHAnsi" w:cstheme="minorBidi"/>
          <w:color w:val="000000"/>
          <w:shd w:val="clear" w:color="auto" w:fill="FFFFFF"/>
        </w:rPr>
        <w:t xml:space="preserve"> ettepanek suunata osa oma teadusrahastusest kaitsevaldkonda.</w:t>
      </w:r>
      <w:r w:rsidRPr="00C10A02">
        <w:rPr>
          <w:rStyle w:val="eop"/>
          <w:rFonts w:asciiTheme="minorHAnsi" w:eastAsiaTheme="minorEastAsia" w:hAnsiTheme="minorHAnsi" w:cstheme="minorBidi"/>
          <w:color w:val="000000"/>
          <w:shd w:val="clear" w:color="auto" w:fill="FFFFFF"/>
        </w:rPr>
        <w:t> </w:t>
      </w:r>
      <w:r w:rsidR="002D0EDF" w:rsidRPr="00C10A02">
        <w:rPr>
          <w:rStyle w:val="eop"/>
          <w:rFonts w:asciiTheme="minorHAnsi" w:eastAsiaTheme="minorEastAsia" w:hAnsiTheme="minorHAnsi" w:cstheme="minorBidi"/>
          <w:color w:val="000000"/>
          <w:shd w:val="clear" w:color="auto" w:fill="FFFFFF"/>
        </w:rPr>
        <w:t>Tulemusaruanne</w:t>
      </w:r>
      <w:r w:rsidR="004610AB" w:rsidRPr="00C10A02">
        <w:rPr>
          <w:rStyle w:val="eop"/>
          <w:rFonts w:asciiTheme="minorHAnsi" w:eastAsiaTheme="minorEastAsia" w:hAnsiTheme="minorHAnsi" w:cstheme="minorBidi"/>
          <w:color w:val="000000"/>
          <w:shd w:val="clear" w:color="auto" w:fill="FFFFFF"/>
        </w:rPr>
        <w:t xml:space="preserve"> võtab kokku </w:t>
      </w:r>
      <w:r w:rsidR="004610AB" w:rsidRPr="00C10A02">
        <w:rPr>
          <w:rStyle w:val="eop"/>
          <w:rFonts w:asciiTheme="minorHAnsi" w:eastAsiaTheme="minorEastAsia" w:hAnsiTheme="minorHAnsi" w:cstheme="minorBidi"/>
          <w:b/>
          <w:color w:val="000000"/>
          <w:shd w:val="clear" w:color="auto" w:fill="FFFFFF"/>
        </w:rPr>
        <w:t>Eesti teadus- ja arendustegevuse, innovatsiooni ning ettevõtluse arengukava 2021</w:t>
      </w:r>
      <w:r w:rsidR="5CE1E57D" w:rsidRPr="2999F8CB">
        <w:rPr>
          <w:rFonts w:asciiTheme="minorHAnsi" w:hAnsiTheme="minorHAnsi"/>
        </w:rPr>
        <w:t>–</w:t>
      </w:r>
      <w:r w:rsidR="004610AB" w:rsidRPr="00C10A02">
        <w:rPr>
          <w:rStyle w:val="eop"/>
          <w:rFonts w:asciiTheme="minorHAnsi" w:eastAsiaTheme="minorEastAsia" w:hAnsiTheme="minorHAnsi" w:cstheme="minorBidi"/>
          <w:b/>
          <w:color w:val="000000"/>
          <w:shd w:val="clear" w:color="auto" w:fill="FFFFFF"/>
        </w:rPr>
        <w:t>2035 (TAIE)</w:t>
      </w:r>
      <w:r w:rsidR="00DC07C1" w:rsidRPr="00C10A02">
        <w:rPr>
          <w:rStyle w:val="eop"/>
          <w:rFonts w:asciiTheme="minorHAnsi" w:eastAsiaTheme="minorEastAsia" w:hAnsiTheme="minorHAnsi" w:cstheme="minorBidi"/>
          <w:color w:val="000000"/>
          <w:shd w:val="clear" w:color="auto" w:fill="FFFFFF"/>
        </w:rPr>
        <w:t xml:space="preserve"> arengud ja väljakutsed.</w:t>
      </w:r>
    </w:p>
    <w:p w14:paraId="66F01000" w14:textId="21F3E7EF" w:rsidR="00B76C8B" w:rsidRPr="00C10A02" w:rsidRDefault="00B76C8B" w:rsidP="008A54D2">
      <w:pPr>
        <w:pStyle w:val="Normaallaadveeb"/>
        <w:jc w:val="both"/>
        <w:rPr>
          <w:rStyle w:val="normaltextrun"/>
          <w:rFonts w:asciiTheme="minorHAnsi" w:eastAsiaTheme="minorEastAsia" w:hAnsiTheme="minorHAnsi" w:cstheme="minorBidi"/>
          <w:shd w:val="clear" w:color="auto" w:fill="FFFFFF"/>
        </w:rPr>
      </w:pPr>
      <w:r w:rsidRPr="00C10A02">
        <w:rPr>
          <w:rStyle w:val="normaltextrun"/>
          <w:rFonts w:asciiTheme="minorHAnsi" w:eastAsiaTheme="minorEastAsia" w:hAnsiTheme="minorHAnsi" w:cstheme="minorBidi"/>
          <w:shd w:val="clear" w:color="auto" w:fill="FFFFFF"/>
        </w:rPr>
        <w:t xml:space="preserve">Transpordi </w:t>
      </w:r>
      <w:r w:rsidR="005E084B" w:rsidRPr="00C10A02">
        <w:rPr>
          <w:rStyle w:val="normaltextrun"/>
          <w:rFonts w:asciiTheme="minorHAnsi" w:eastAsiaTheme="minorEastAsia" w:hAnsiTheme="minorHAnsi" w:cstheme="minorBidi"/>
          <w:shd w:val="clear" w:color="auto" w:fill="FFFFFF"/>
        </w:rPr>
        <w:t>tulemusvaldkonna 2024. aasta tulemusaruanne</w:t>
      </w:r>
      <w:r w:rsidR="00122B23" w:rsidRPr="00C10A02">
        <w:rPr>
          <w:rStyle w:val="normaltextrun"/>
          <w:rFonts w:asciiTheme="minorHAnsi" w:eastAsiaTheme="minorEastAsia" w:hAnsiTheme="minorHAnsi" w:cstheme="minorBidi"/>
          <w:shd w:val="clear" w:color="auto" w:fill="FFFFFF"/>
        </w:rPr>
        <w:t xml:space="preserve">, mis katab </w:t>
      </w:r>
      <w:r w:rsidR="009B77F5" w:rsidRPr="00C10A02">
        <w:rPr>
          <w:rStyle w:val="normaltextrun"/>
          <w:rFonts w:asciiTheme="minorHAnsi" w:eastAsiaTheme="minorEastAsia" w:hAnsiTheme="minorHAnsi" w:cstheme="minorBidi"/>
          <w:shd w:val="clear" w:color="auto" w:fill="FFFFFF"/>
        </w:rPr>
        <w:t xml:space="preserve">eelkõige </w:t>
      </w:r>
      <w:r w:rsidR="00122B23" w:rsidRPr="00C10A02">
        <w:rPr>
          <w:rStyle w:val="normaltextrun"/>
          <w:rFonts w:asciiTheme="minorHAnsi" w:eastAsiaTheme="minorEastAsia" w:hAnsiTheme="minorHAnsi" w:cstheme="minorBidi"/>
          <w:b/>
          <w:shd w:val="clear" w:color="auto" w:fill="FFFFFF"/>
        </w:rPr>
        <w:t>Transpordi ja liikuvuse arengukava 2021</w:t>
      </w:r>
      <w:r w:rsidR="75AC2B55" w:rsidRPr="2999F8CB">
        <w:rPr>
          <w:rFonts w:asciiTheme="minorHAnsi" w:hAnsiTheme="minorHAnsi"/>
        </w:rPr>
        <w:t>–</w:t>
      </w:r>
      <w:r w:rsidR="00122B23" w:rsidRPr="00C10A02">
        <w:rPr>
          <w:rStyle w:val="normaltextrun"/>
          <w:rFonts w:asciiTheme="minorHAnsi" w:eastAsiaTheme="minorEastAsia" w:hAnsiTheme="minorHAnsi" w:cstheme="minorBidi"/>
          <w:b/>
          <w:shd w:val="clear" w:color="auto" w:fill="FFFFFF"/>
        </w:rPr>
        <w:t>2035</w:t>
      </w:r>
      <w:r w:rsidR="009B77F5" w:rsidRPr="00C10A02">
        <w:rPr>
          <w:rStyle w:val="normaltextrun"/>
          <w:rFonts w:asciiTheme="minorHAnsi" w:eastAsiaTheme="minorEastAsia" w:hAnsiTheme="minorHAnsi" w:cstheme="minorBidi"/>
          <w:shd w:val="clear" w:color="auto" w:fill="FFFFFF"/>
        </w:rPr>
        <w:t xml:space="preserve">, </w:t>
      </w:r>
      <w:r w:rsidR="00B42228" w:rsidRPr="00C10A02">
        <w:rPr>
          <w:rStyle w:val="normaltextrun"/>
          <w:rFonts w:asciiTheme="minorHAnsi" w:eastAsiaTheme="minorEastAsia" w:hAnsiTheme="minorHAnsi" w:cstheme="minorBidi"/>
          <w:shd w:val="clear" w:color="auto" w:fill="FFFFFF"/>
        </w:rPr>
        <w:t>toob välja, et</w:t>
      </w:r>
      <w:r w:rsidR="00BE441C" w:rsidRPr="00C10A02">
        <w:rPr>
          <w:rStyle w:val="normaltextrun"/>
          <w:rFonts w:asciiTheme="minorHAnsi" w:eastAsiaTheme="minorEastAsia" w:hAnsiTheme="minorHAnsi" w:cstheme="minorBidi"/>
          <w:shd w:val="clear" w:color="auto" w:fill="FFFFFF"/>
        </w:rPr>
        <w:t xml:space="preserve"> teehoiuks eraldatud vahendite maht ja edasise rahastuse ebaselgus seavad ohtu</w:t>
      </w:r>
      <w:r w:rsidR="00B42228" w:rsidRPr="00C10A02">
        <w:rPr>
          <w:rStyle w:val="normaltextrun"/>
          <w:rFonts w:asciiTheme="minorHAnsi" w:eastAsiaTheme="minorEastAsia" w:hAnsiTheme="minorHAnsi" w:cstheme="minorBidi"/>
          <w:shd w:val="clear" w:color="auto" w:fill="FFFFFF"/>
        </w:rPr>
        <w:t xml:space="preserve"> </w:t>
      </w:r>
      <w:r w:rsidR="00EF0E41" w:rsidRPr="00C10A02">
        <w:rPr>
          <w:rFonts w:asciiTheme="minorHAnsi" w:eastAsiaTheme="minorEastAsia" w:hAnsiTheme="minorHAnsi" w:cstheme="minorBidi"/>
        </w:rPr>
        <w:t>TEN-T põhivõrku kuuluvate maanteede Tallinna–Tartu teelõigu ja Tallinn–Pärnu–Ikla väljaehitamise Euroopa Parlamendi ja Nõukogu määruses (EL) 2024/1679 sätestatud liiklusohutuse ja</w:t>
      </w:r>
      <w:r w:rsidR="0020790E" w:rsidRPr="00C10A02">
        <w:rPr>
          <w:rFonts w:asciiTheme="minorHAnsi" w:eastAsiaTheme="minorEastAsia" w:hAnsiTheme="minorHAnsi" w:cstheme="minorBidi"/>
        </w:rPr>
        <w:t xml:space="preserve"> keskkonnanõuetele vastavaks 2030. aasta lõpuks.</w:t>
      </w:r>
    </w:p>
    <w:p w14:paraId="56B85F96" w14:textId="1B5E1C76" w:rsidR="00D31D14" w:rsidRPr="00C10A02" w:rsidRDefault="00A676DE" w:rsidP="008A54D2">
      <w:pPr>
        <w:pStyle w:val="Normaallaadveeb"/>
        <w:jc w:val="both"/>
        <w:rPr>
          <w:rStyle w:val="eop"/>
          <w:rFonts w:asciiTheme="minorHAnsi" w:eastAsiaTheme="minorEastAsia" w:hAnsiTheme="minorHAnsi" w:cstheme="minorBidi"/>
          <w:color w:val="215E99" w:themeColor="text2" w:themeTint="BF"/>
          <w:shd w:val="clear" w:color="auto" w:fill="FFFFFF"/>
        </w:rPr>
      </w:pPr>
      <w:r w:rsidRPr="00C10A02">
        <w:rPr>
          <w:rStyle w:val="normaltextrun"/>
          <w:rFonts w:asciiTheme="minorHAnsi" w:eastAsiaTheme="minorEastAsia" w:hAnsiTheme="minorHAnsi" w:cstheme="minorBidi"/>
          <w:color w:val="000000"/>
          <w:shd w:val="clear" w:color="auto" w:fill="FFFFFF"/>
        </w:rPr>
        <w:t>Käesoleva rakenduskava muudatusega kavandatud s</w:t>
      </w:r>
      <w:r w:rsidR="005F3EB1" w:rsidRPr="00C10A02">
        <w:rPr>
          <w:rStyle w:val="normaltextrun"/>
          <w:rFonts w:asciiTheme="minorHAnsi" w:eastAsiaTheme="minorEastAsia" w:hAnsiTheme="minorHAnsi" w:cstheme="minorBidi"/>
          <w:color w:val="000000"/>
          <w:shd w:val="clear" w:color="auto" w:fill="FFFFFF"/>
        </w:rPr>
        <w:t>õjaväelise liikuvuse investeeringud hõlmavad riigiteede Tallinn–Pärnu–Ikla (Via Baltica) ja Tallinn</w:t>
      </w:r>
      <w:r w:rsidR="150FFB5E" w:rsidRPr="2999F8CB">
        <w:rPr>
          <w:rStyle w:val="normaltextrun"/>
          <w:rFonts w:asciiTheme="minorHAnsi" w:eastAsiaTheme="minorEastAsia" w:hAnsiTheme="minorHAnsi" w:cstheme="minorBidi"/>
          <w:color w:val="000000"/>
          <w:shd w:val="clear" w:color="auto" w:fill="FFFFFF"/>
        </w:rPr>
        <w:t>a</w:t>
      </w:r>
      <w:r w:rsidR="005F3EB1" w:rsidRPr="00C10A02">
        <w:rPr>
          <w:rStyle w:val="normaltextrun"/>
          <w:rFonts w:asciiTheme="minorHAnsi" w:eastAsiaTheme="minorEastAsia" w:hAnsiTheme="minorHAnsi" w:cstheme="minorBidi"/>
          <w:color w:val="000000"/>
          <w:shd w:val="clear" w:color="auto" w:fill="FFFFFF"/>
        </w:rPr>
        <w:t>–Tartu maantee</w:t>
      </w:r>
      <w:r w:rsidR="005F3EB1" w:rsidRPr="004611FF">
        <w:rPr>
          <w:rStyle w:val="normaltextrun"/>
          <w:rFonts w:ascii="Cambria" w:eastAsiaTheme="majorEastAsia" w:hAnsi="Cambria"/>
          <w:color w:val="000000"/>
          <w:shd w:val="clear" w:color="auto" w:fill="FFFFFF"/>
        </w:rPr>
        <w:t xml:space="preserve"> </w:t>
      </w:r>
      <w:r w:rsidR="005F3EB1" w:rsidRPr="00C10A02">
        <w:rPr>
          <w:rStyle w:val="normaltextrun"/>
          <w:rFonts w:asciiTheme="minorHAnsi" w:eastAsiaTheme="minorEastAsia" w:hAnsiTheme="minorHAnsi" w:cstheme="minorBidi"/>
          <w:color w:val="000000"/>
          <w:shd w:val="clear" w:color="auto" w:fill="FFFFFF"/>
        </w:rPr>
        <w:t xml:space="preserve">ümberehitamist, mis on </w:t>
      </w:r>
      <w:r w:rsidR="00CA4F8B">
        <w:rPr>
          <w:rStyle w:val="normaltextrun"/>
          <w:rFonts w:asciiTheme="minorHAnsi" w:eastAsiaTheme="minorEastAsia" w:hAnsiTheme="minorHAnsi" w:cstheme="minorBidi"/>
          <w:color w:val="000000"/>
          <w:shd w:val="clear" w:color="auto" w:fill="FFFFFF"/>
        </w:rPr>
        <w:t>ühtlasi</w:t>
      </w:r>
      <w:r w:rsidR="00CA4F8B" w:rsidRPr="00C10A02">
        <w:rPr>
          <w:rStyle w:val="normaltextrun"/>
          <w:rFonts w:asciiTheme="minorHAnsi" w:eastAsiaTheme="minorEastAsia" w:hAnsiTheme="minorHAnsi" w:cstheme="minorBidi"/>
          <w:color w:val="000000"/>
          <w:shd w:val="clear" w:color="auto" w:fill="FFFFFF"/>
        </w:rPr>
        <w:t xml:space="preserve"> </w:t>
      </w:r>
      <w:r w:rsidR="005F3EB1" w:rsidRPr="00C10A02">
        <w:rPr>
          <w:rStyle w:val="normaltextrun"/>
          <w:rFonts w:asciiTheme="minorHAnsi" w:eastAsiaTheme="minorEastAsia" w:hAnsiTheme="minorHAnsi" w:cstheme="minorBidi"/>
          <w:color w:val="000000"/>
          <w:shd w:val="clear" w:color="auto" w:fill="FFFFFF"/>
        </w:rPr>
        <w:t>ka TEN-T põhivõrgustiku maanteede osad. Lisaks suurendatakse investeeringuid Balti riikide vahelise suurima uue raudteetrassi, Rail Baltica valmimise toetamiseks, mis riigiaruande põhjal on väga tähtis, et minna maanteetranspordilt üle raudteetranspordile ja edendada kestlikku liikuvust. Lisaks tsiviilkasutusele on need trassid olulised sõjalise liikuvuse tagamiseks, toetades NATO ja EL-i kollektiivkaitse põhimõtteid. Teede ja raudteede vastavusse viimine sõjalise liikuvuse nõuetega võimaldab liitlaste rasketehnika ning strateegiliste kaupade kiiret ja turvalist liikumist, aga vajadusel ka suuremahulist elanike evakuatsiooni, tugevdades seeläbi Eesti kaitsevõimet ja piirkondlikku julgeolekut. Kaitseministeeriumi tulemusaruande kohaselt peab Eesti NATO uute kaitseplaanide rakendamiseks olema valmis vastu võtma liitlasvägesid senisest oluliselt suuremas mahus. See eeldab vastuvõtuvõimekuse ja toetavate teenuste arendamist, et tagada liitlasüksuste kiire saabumine, majutamine ja siirmine operatsioonialale. </w:t>
      </w:r>
      <w:r w:rsidR="005F3EB1" w:rsidRPr="00C10A02">
        <w:rPr>
          <w:rStyle w:val="eop"/>
          <w:rFonts w:asciiTheme="minorHAnsi" w:eastAsiaTheme="minorEastAsia" w:hAnsiTheme="minorHAnsi" w:cstheme="minorBidi"/>
          <w:color w:val="000000"/>
          <w:shd w:val="clear" w:color="auto" w:fill="FFFFFF"/>
        </w:rPr>
        <w:t> </w:t>
      </w:r>
    </w:p>
    <w:p w14:paraId="582F1B58" w14:textId="6F492A6F" w:rsidR="00551C73" w:rsidRPr="00BC4C6D" w:rsidRDefault="0B7516BC" w:rsidP="00C453AE">
      <w:pPr>
        <w:pStyle w:val="Pealkiri1"/>
        <w:numPr>
          <w:ilvl w:val="0"/>
          <w:numId w:val="14"/>
        </w:numPr>
        <w:rPr>
          <w:rStyle w:val="eop"/>
        </w:rPr>
      </w:pPr>
      <w:bookmarkStart w:id="7" w:name="_Toc958790465"/>
      <w:bookmarkStart w:id="8" w:name="_Toc213770830"/>
      <w:r w:rsidRPr="4919EC1B">
        <w:rPr>
          <w:rStyle w:val="eop"/>
        </w:rPr>
        <w:t>Mõjutatava keskkonna kirjeldus</w:t>
      </w:r>
      <w:r w:rsidR="48FEB26A" w:rsidRPr="4919EC1B">
        <w:rPr>
          <w:rStyle w:val="eop"/>
        </w:rPr>
        <w:t xml:space="preserve"> ja tegevustega eeldatavalt kaasnev mõju</w:t>
      </w:r>
      <w:bookmarkEnd w:id="7"/>
      <w:bookmarkEnd w:id="8"/>
    </w:p>
    <w:p w14:paraId="336362E6" w14:textId="634AE162" w:rsidR="00E13BFB" w:rsidRDefault="00E13BFB" w:rsidP="57D05787">
      <w:pPr>
        <w:pStyle w:val="Normaallaadveeb"/>
        <w:jc w:val="both"/>
        <w:rPr>
          <w:rStyle w:val="eop"/>
          <w:rFonts w:asciiTheme="minorHAnsi" w:eastAsiaTheme="majorEastAsia" w:hAnsiTheme="minorHAnsi"/>
          <w:color w:val="000000"/>
          <w:shd w:val="clear" w:color="auto" w:fill="FFFFFF"/>
        </w:rPr>
      </w:pPr>
      <w:r w:rsidRPr="57D05787">
        <w:rPr>
          <w:rStyle w:val="eop"/>
          <w:rFonts w:asciiTheme="minorHAnsi" w:eastAsiaTheme="majorEastAsia" w:hAnsiTheme="minorHAnsi"/>
          <w:color w:val="000000"/>
          <w:shd w:val="clear" w:color="auto" w:fill="FFFFFF"/>
        </w:rPr>
        <w:t xml:space="preserve"> „Ühtekuuluvuspoliitika fondide rakenduskava perioodiks 2021</w:t>
      </w:r>
      <w:r w:rsidR="4E430DC7" w:rsidRPr="57D05787">
        <w:rPr>
          <w:rFonts w:asciiTheme="minorHAnsi" w:hAnsiTheme="minorHAnsi"/>
        </w:rPr>
        <w:t>–</w:t>
      </w:r>
      <w:r w:rsidRPr="57D05787">
        <w:rPr>
          <w:rStyle w:val="eop"/>
          <w:rFonts w:asciiTheme="minorHAnsi" w:eastAsiaTheme="majorEastAsia" w:hAnsiTheme="minorHAnsi"/>
          <w:color w:val="000000"/>
          <w:shd w:val="clear" w:color="auto" w:fill="FFFFFF"/>
        </w:rPr>
        <w:t>2027“ muudatuste</w:t>
      </w:r>
      <w:r w:rsidR="00171C54" w:rsidRPr="57D05787">
        <w:rPr>
          <w:rStyle w:val="eop"/>
          <w:rFonts w:asciiTheme="minorHAnsi" w:eastAsiaTheme="majorEastAsia" w:hAnsiTheme="minorHAnsi"/>
          <w:color w:val="000000"/>
          <w:shd w:val="clear" w:color="auto" w:fill="FFFFFF"/>
        </w:rPr>
        <w:t xml:space="preserve"> eeldatav keskkonnamõju </w:t>
      </w:r>
      <w:r w:rsidR="00680022" w:rsidRPr="57D05787">
        <w:rPr>
          <w:rStyle w:val="eop"/>
          <w:rFonts w:asciiTheme="minorHAnsi" w:eastAsiaTheme="majorEastAsia" w:hAnsiTheme="minorHAnsi"/>
          <w:color w:val="000000"/>
          <w:shd w:val="clear" w:color="auto" w:fill="FFFFFF"/>
        </w:rPr>
        <w:t xml:space="preserve">on </w:t>
      </w:r>
      <w:r w:rsidR="1370C5CD" w:rsidRPr="57D05787">
        <w:rPr>
          <w:rStyle w:val="eop"/>
          <w:rFonts w:asciiTheme="minorHAnsi" w:eastAsiaTheme="majorEastAsia" w:hAnsiTheme="minorHAnsi"/>
          <w:color w:val="000000"/>
          <w:shd w:val="clear" w:color="auto" w:fill="FFFFFF"/>
        </w:rPr>
        <w:t xml:space="preserve">punktides 3.1 ja 3.2 nimetatud tegevustel </w:t>
      </w:r>
      <w:r w:rsidR="00680022" w:rsidRPr="57D05787">
        <w:rPr>
          <w:rStyle w:val="eop"/>
          <w:rFonts w:asciiTheme="minorHAnsi" w:eastAsiaTheme="majorEastAsia" w:hAnsiTheme="minorHAnsi"/>
          <w:color w:val="000000"/>
          <w:shd w:val="clear" w:color="auto" w:fill="FFFFFF"/>
        </w:rPr>
        <w:t xml:space="preserve">hinnatud </w:t>
      </w:r>
      <w:r w:rsidR="002F2571" w:rsidRPr="57D05787">
        <w:rPr>
          <w:rStyle w:val="eop"/>
          <w:rFonts w:asciiTheme="minorHAnsi" w:eastAsiaTheme="majorEastAsia" w:hAnsiTheme="minorHAnsi"/>
          <w:color w:val="000000"/>
          <w:shd w:val="clear" w:color="auto" w:fill="FFFFFF"/>
        </w:rPr>
        <w:t>varasemate investeeringuspetsiifiliste keskkonnamõjude</w:t>
      </w:r>
      <w:r w:rsidR="00680022" w:rsidRPr="57D05787">
        <w:rPr>
          <w:rStyle w:val="eop"/>
          <w:rFonts w:asciiTheme="minorHAnsi" w:eastAsiaTheme="majorEastAsia" w:hAnsiTheme="minorHAnsi"/>
          <w:color w:val="000000"/>
          <w:shd w:val="clear" w:color="auto" w:fill="FFFFFF"/>
        </w:rPr>
        <w:t xml:space="preserve"> hindamiste käigus.</w:t>
      </w:r>
    </w:p>
    <w:p w14:paraId="264493EE" w14:textId="3F041199" w:rsidR="00680022" w:rsidRPr="00F80A5B" w:rsidRDefault="39563E9A" w:rsidP="00F80A5B">
      <w:pPr>
        <w:pStyle w:val="Pealkiri2"/>
        <w:rPr>
          <w:rStyle w:val="eop"/>
        </w:rPr>
      </w:pPr>
      <w:bookmarkStart w:id="9" w:name="_Toc621927783"/>
      <w:bookmarkStart w:id="10" w:name="_Toc213770831"/>
      <w:r w:rsidRPr="4919EC1B">
        <w:rPr>
          <w:rStyle w:val="eop"/>
        </w:rPr>
        <w:lastRenderedPageBreak/>
        <w:t>3.1</w:t>
      </w:r>
      <w:r w:rsidR="616C5D95" w:rsidRPr="4919EC1B">
        <w:rPr>
          <w:rStyle w:val="eop"/>
        </w:rPr>
        <w:t xml:space="preserve"> Kaitsetööstuspark</w:t>
      </w:r>
      <w:bookmarkEnd w:id="9"/>
      <w:bookmarkEnd w:id="10"/>
    </w:p>
    <w:p w14:paraId="4B05B6AA" w14:textId="1D53F951" w:rsidR="008A4576" w:rsidRDefault="00E97480" w:rsidP="00206181">
      <w:pPr>
        <w:pStyle w:val="Normaallaadveeb"/>
        <w:spacing w:before="0" w:beforeAutospacing="0" w:after="0" w:afterAutospacing="0"/>
        <w:jc w:val="both"/>
        <w:rPr>
          <w:rFonts w:asciiTheme="minorHAnsi" w:hAnsiTheme="minorHAnsi"/>
        </w:rPr>
      </w:pPr>
      <w:r w:rsidRPr="001D0868">
        <w:rPr>
          <w:rStyle w:val="eop"/>
          <w:rFonts w:asciiTheme="minorHAnsi" w:eastAsiaTheme="majorEastAsia" w:hAnsiTheme="minorHAnsi"/>
          <w:color w:val="000000"/>
          <w:shd w:val="clear" w:color="auto" w:fill="FFFFFF"/>
        </w:rPr>
        <w:t>Vabariigi Valitsus algatas 15.02.2024 korraldusega nr 40</w:t>
      </w:r>
      <w:r w:rsidR="002211ED">
        <w:rPr>
          <w:rStyle w:val="Allmrkuseviide"/>
          <w:rFonts w:asciiTheme="minorHAnsi" w:eastAsiaTheme="majorEastAsia" w:hAnsiTheme="minorHAnsi"/>
          <w:color w:val="000000"/>
          <w:shd w:val="clear" w:color="auto" w:fill="FFFFFF"/>
        </w:rPr>
        <w:footnoteReference w:id="6"/>
      </w:r>
      <w:r w:rsidRPr="001D0868">
        <w:rPr>
          <w:rStyle w:val="eop"/>
          <w:rFonts w:asciiTheme="minorHAnsi" w:eastAsiaTheme="majorEastAsia" w:hAnsiTheme="minorHAnsi"/>
          <w:color w:val="000000"/>
          <w:shd w:val="clear" w:color="auto" w:fill="FFFFFF"/>
        </w:rPr>
        <w:t xml:space="preserve"> kaitsetööstuspargi riigi eriplaneeringu ja keskkonnamõju strateegilise hindamise. </w:t>
      </w:r>
      <w:r w:rsidR="00055547" w:rsidRPr="001D0868">
        <w:rPr>
          <w:rStyle w:val="eop"/>
          <w:rFonts w:asciiTheme="minorHAnsi" w:eastAsiaTheme="majorEastAsia" w:hAnsiTheme="minorHAnsi"/>
          <w:color w:val="000000"/>
          <w:shd w:val="clear" w:color="auto" w:fill="FFFFFF"/>
        </w:rPr>
        <w:t>Kaitsetööstuspargi rajamise vajadus lähtub Vabariigi Valitsuse 2023</w:t>
      </w:r>
      <w:r w:rsidR="63D0B8A0" w:rsidRPr="2999F8CB">
        <w:rPr>
          <w:rFonts w:asciiTheme="minorHAnsi" w:hAnsiTheme="minorHAnsi"/>
        </w:rPr>
        <w:t>–</w:t>
      </w:r>
      <w:r w:rsidR="00055547" w:rsidRPr="001D0868">
        <w:rPr>
          <w:rStyle w:val="eop"/>
          <w:rFonts w:asciiTheme="minorHAnsi" w:eastAsiaTheme="majorEastAsia" w:hAnsiTheme="minorHAnsi"/>
          <w:color w:val="000000"/>
          <w:shd w:val="clear" w:color="auto" w:fill="FFFFFF"/>
        </w:rPr>
        <w:t>2027 tegevusprogrammis seatud eesmärkide</w:t>
      </w:r>
      <w:r w:rsidR="001D0868" w:rsidRPr="001D0868">
        <w:rPr>
          <w:rFonts w:asciiTheme="minorHAnsi" w:hAnsiTheme="minorHAnsi"/>
        </w:rPr>
        <w:t xml:space="preserve"> arendada välja laskemoona-, relva- ja droonitootmist võimaldav tööstuspark. Riigikaitse arengukava 2022–2031 näeb ette riigikaitsega seotud äriettevõtete tegevuse hõlbustamist, misläbi peaks paranema valdkonnaga seotud ettevõtete, nt kaitsetööstussektori rahvusvaheline konkurentsivõime. Tööstuspargi rajamisega luuakse kaitsetööstusettevõtetele taristu ettevõtlusega tegelemiseks, millel on positiivne mõju majandusele.</w:t>
      </w:r>
      <w:r w:rsidR="00FD5F62">
        <w:rPr>
          <w:rStyle w:val="Allmrkuseviide"/>
          <w:rFonts w:asciiTheme="minorHAnsi" w:hAnsiTheme="minorHAnsi"/>
        </w:rPr>
        <w:footnoteReference w:id="7"/>
      </w:r>
      <w:r w:rsidR="00CE4EEF">
        <w:rPr>
          <w:rFonts w:asciiTheme="minorHAnsi" w:hAnsiTheme="minorHAnsi"/>
        </w:rPr>
        <w:t xml:space="preserve"> </w:t>
      </w:r>
    </w:p>
    <w:p w14:paraId="6F3E2D19" w14:textId="3768E4FF" w:rsidR="76DF1BD5" w:rsidRDefault="76DF1BD5" w:rsidP="00206181">
      <w:pPr>
        <w:pStyle w:val="Normaallaadveeb"/>
        <w:spacing w:before="0" w:beforeAutospacing="0" w:after="0" w:afterAutospacing="0"/>
        <w:jc w:val="both"/>
        <w:rPr>
          <w:rFonts w:asciiTheme="minorHAnsi" w:hAnsiTheme="minorHAnsi"/>
        </w:rPr>
      </w:pPr>
    </w:p>
    <w:p w14:paraId="7562CDC9" w14:textId="2BECB52B" w:rsidR="000853DA" w:rsidRDefault="7D7DA7EF" w:rsidP="00206181">
      <w:pPr>
        <w:pStyle w:val="Normaallaadveeb"/>
        <w:spacing w:before="0" w:beforeAutospacing="0" w:after="0" w:afterAutospacing="0"/>
        <w:jc w:val="both"/>
        <w:rPr>
          <w:rFonts w:asciiTheme="minorHAnsi" w:hAnsiTheme="minorHAnsi"/>
        </w:rPr>
      </w:pPr>
      <w:r w:rsidRPr="4919EC1B">
        <w:rPr>
          <w:rFonts w:asciiTheme="minorHAnsi" w:hAnsiTheme="minorHAnsi"/>
        </w:rPr>
        <w:t xml:space="preserve">Planeeringu koostamisse ja mõjude hindamisse kaasati </w:t>
      </w:r>
      <w:r w:rsidR="5C8D03C3" w:rsidRPr="4919EC1B">
        <w:rPr>
          <w:rFonts w:asciiTheme="minorHAnsi" w:hAnsiTheme="minorHAnsi"/>
        </w:rPr>
        <w:t>lisaks Kaitseministeeriumile Kliimaministeerium, Regionaal- ja Põllumajandusministeerium, Majandus- ja Kommunikatsiooniministeerium, Tarbijakaitse ja Tehnilise Järelevalve Amet</w:t>
      </w:r>
      <w:r w:rsidR="372BCA4D" w:rsidRPr="4919EC1B">
        <w:rPr>
          <w:rFonts w:asciiTheme="minorHAnsi" w:hAnsiTheme="minorHAnsi"/>
        </w:rPr>
        <w:t xml:space="preserve"> (edaspidi TTJA)</w:t>
      </w:r>
      <w:r w:rsidR="5C8D03C3" w:rsidRPr="4919EC1B">
        <w:rPr>
          <w:rFonts w:asciiTheme="minorHAnsi" w:hAnsiTheme="minorHAnsi"/>
        </w:rPr>
        <w:t xml:space="preserve"> ning Keskkonna</w:t>
      </w:r>
      <w:r w:rsidR="5CC0DE46" w:rsidRPr="4919EC1B">
        <w:rPr>
          <w:rFonts w:asciiTheme="minorHAnsi" w:hAnsiTheme="minorHAnsi"/>
        </w:rPr>
        <w:t xml:space="preserve"> A</w:t>
      </w:r>
      <w:r w:rsidR="5C8D03C3" w:rsidRPr="4919EC1B">
        <w:rPr>
          <w:rFonts w:asciiTheme="minorHAnsi" w:hAnsiTheme="minorHAnsi"/>
        </w:rPr>
        <w:t>met.</w:t>
      </w:r>
    </w:p>
    <w:p w14:paraId="095E1EF3" w14:textId="2A4FF78A" w:rsidR="5690CA2E" w:rsidRDefault="5690CA2E" w:rsidP="00206181">
      <w:pPr>
        <w:pStyle w:val="Normaallaadveeb"/>
        <w:spacing w:before="0" w:beforeAutospacing="0" w:after="0" w:afterAutospacing="0"/>
        <w:jc w:val="both"/>
        <w:rPr>
          <w:rStyle w:val="eop"/>
          <w:rFonts w:asciiTheme="minorHAnsi" w:eastAsiaTheme="majorEastAsia" w:hAnsiTheme="minorHAnsi"/>
          <w:color w:val="000000" w:themeColor="text1"/>
        </w:rPr>
      </w:pPr>
    </w:p>
    <w:p w14:paraId="2EA6DF0F" w14:textId="6DE42CD4" w:rsidR="00A456BA" w:rsidRDefault="13AD2104" w:rsidP="00206181">
      <w:pPr>
        <w:pStyle w:val="Normaallaadveeb"/>
        <w:spacing w:before="0" w:beforeAutospacing="0" w:after="0" w:afterAutospacing="0"/>
        <w:jc w:val="both"/>
        <w:rPr>
          <w:rStyle w:val="eop"/>
          <w:rFonts w:asciiTheme="minorHAnsi" w:eastAsiaTheme="minorEastAsia" w:hAnsiTheme="minorHAnsi" w:cstheme="minorBidi"/>
          <w:color w:val="000000"/>
          <w:shd w:val="clear" w:color="auto" w:fill="FFFFFF"/>
        </w:rPr>
      </w:pPr>
      <w:r w:rsidRPr="4919EC1B">
        <w:rPr>
          <w:rStyle w:val="eop"/>
          <w:rFonts w:asciiTheme="minorHAnsi" w:eastAsiaTheme="majorEastAsia" w:hAnsiTheme="minorHAnsi"/>
          <w:color w:val="000000" w:themeColor="text1"/>
        </w:rPr>
        <w:t xml:space="preserve">Teostati keskkonnamõjude strateegiline hindamine, </w:t>
      </w:r>
      <w:r w:rsidR="129BC8A9" w:rsidRPr="4919EC1B">
        <w:rPr>
          <w:rStyle w:val="eop"/>
          <w:rFonts w:asciiTheme="minorHAnsi" w:eastAsiaTheme="majorEastAsia" w:hAnsiTheme="minorHAnsi"/>
          <w:color w:val="000000" w:themeColor="text1"/>
        </w:rPr>
        <w:t>KSH aruan</w:t>
      </w:r>
      <w:r w:rsidR="77E44DEB" w:rsidRPr="4919EC1B">
        <w:rPr>
          <w:rStyle w:val="eop"/>
          <w:rFonts w:asciiTheme="minorHAnsi" w:eastAsiaTheme="majorEastAsia" w:hAnsiTheme="minorHAnsi"/>
          <w:color w:val="000000" w:themeColor="text1"/>
        </w:rPr>
        <w:t>ne ja lisad on leitavad Kaitseministeeriumi kodulehel -</w:t>
      </w:r>
      <w:r w:rsidR="77E44DEB" w:rsidRPr="4919EC1B">
        <w:rPr>
          <w:rStyle w:val="eop"/>
          <w:rFonts w:asciiTheme="minorHAnsi" w:eastAsiaTheme="minorEastAsia" w:hAnsiTheme="minorHAnsi" w:cstheme="minorBidi"/>
          <w:color w:val="000000" w:themeColor="text1"/>
        </w:rPr>
        <w:t xml:space="preserve"> </w:t>
      </w:r>
      <w:hyperlink r:id="rId12">
        <w:r w:rsidR="77E44DEB" w:rsidRPr="4919EC1B">
          <w:rPr>
            <w:rStyle w:val="Hperlink"/>
            <w:rFonts w:asciiTheme="minorHAnsi" w:eastAsiaTheme="minorEastAsia" w:hAnsiTheme="minorHAnsi" w:cstheme="minorBidi"/>
          </w:rPr>
          <w:t>Kaitsetööstuspark | Kaitseministeerium.</w:t>
        </w:r>
      </w:hyperlink>
      <w:r w:rsidR="77E44DEB" w:rsidRPr="4919EC1B">
        <w:rPr>
          <w:rFonts w:asciiTheme="minorHAnsi" w:eastAsiaTheme="minorEastAsia" w:hAnsiTheme="minorHAnsi" w:cstheme="minorBidi"/>
        </w:rPr>
        <w:t xml:space="preserve"> Sh </w:t>
      </w:r>
      <w:r w:rsidR="54AFF5C6" w:rsidRPr="4919EC1B">
        <w:rPr>
          <w:rStyle w:val="eop"/>
          <w:rFonts w:asciiTheme="minorHAnsi" w:eastAsiaTheme="minorEastAsia" w:hAnsiTheme="minorHAnsi" w:cstheme="minorBidi"/>
          <w:color w:val="000000"/>
          <w:shd w:val="clear" w:color="auto" w:fill="FFFFFF"/>
        </w:rPr>
        <w:t>Kaitsetööstuspargi riigi eriplaneeringu Natura hindamine, KSH lisa 5.</w:t>
      </w:r>
      <w:r w:rsidR="00A456BA" w:rsidRPr="4919EC1B">
        <w:rPr>
          <w:rStyle w:val="Allmrkuseviide"/>
          <w:rFonts w:asciiTheme="minorHAnsi" w:eastAsiaTheme="minorEastAsia" w:hAnsiTheme="minorHAnsi" w:cstheme="minorBidi"/>
          <w:color w:val="000000"/>
          <w:shd w:val="clear" w:color="auto" w:fill="FFFFFF"/>
        </w:rPr>
        <w:footnoteReference w:id="8"/>
      </w:r>
    </w:p>
    <w:p w14:paraId="06DB030E" w14:textId="77777777" w:rsidR="00A456BA" w:rsidRDefault="00A456BA" w:rsidP="00206181">
      <w:pPr>
        <w:pStyle w:val="Normaallaadveeb"/>
        <w:spacing w:before="0" w:beforeAutospacing="0" w:after="0" w:afterAutospacing="0"/>
        <w:jc w:val="both"/>
        <w:rPr>
          <w:rFonts w:asciiTheme="minorHAnsi" w:hAnsiTheme="minorHAnsi"/>
        </w:rPr>
      </w:pPr>
    </w:p>
    <w:p w14:paraId="5E6766DE" w14:textId="44311EC2" w:rsidR="551AB98F" w:rsidRDefault="551AB98F" w:rsidP="00206181">
      <w:pPr>
        <w:pStyle w:val="Normaallaadveeb"/>
        <w:spacing w:before="0" w:beforeAutospacing="0" w:after="0" w:afterAutospacing="0"/>
        <w:jc w:val="both"/>
        <w:rPr>
          <w:rFonts w:asciiTheme="minorHAnsi" w:eastAsiaTheme="minorEastAsia" w:hAnsiTheme="minorHAnsi" w:cstheme="minorBidi"/>
        </w:rPr>
      </w:pPr>
      <w:r w:rsidRPr="4919EC1B">
        <w:rPr>
          <w:rFonts w:asciiTheme="minorHAnsi" w:eastAsiaTheme="minorEastAsia" w:hAnsiTheme="minorHAnsi" w:cstheme="minorBidi"/>
        </w:rPr>
        <w:t xml:space="preserve">Teostatud KSH aruanne </w:t>
      </w:r>
      <w:r w:rsidR="74D7F4F4" w:rsidRPr="4919EC1B">
        <w:rPr>
          <w:rFonts w:asciiTheme="minorHAnsi" w:eastAsiaTheme="minorEastAsia" w:hAnsiTheme="minorHAnsi" w:cstheme="minorBidi"/>
        </w:rPr>
        <w:t>kinnitab</w:t>
      </w:r>
      <w:r w:rsidRPr="4919EC1B">
        <w:rPr>
          <w:rFonts w:asciiTheme="minorHAnsi" w:eastAsiaTheme="minorEastAsia" w:hAnsiTheme="minorHAnsi" w:cstheme="minorBidi"/>
        </w:rPr>
        <w:t>, et Kaitsetööstuspargi jaoks on leitud sobivad asukohad. Selle jaoks on tehtud asukoha eelvaliku raames piisavas mahus asjakohaseid uuringuid, mis võimaldavad järeldada, et leitud alade puhul puuduvad välistavad tegurid kaitsetööstuspargi rajamiseks ning aruanne seab valitud aladele konkreetsed keskkonnatingimused, mida peab täitma.</w:t>
      </w:r>
    </w:p>
    <w:p w14:paraId="700569CE" w14:textId="07D3E1D6" w:rsidR="4919EC1B" w:rsidRDefault="4919EC1B" w:rsidP="00206181">
      <w:pPr>
        <w:pStyle w:val="Normaallaadveeb"/>
        <w:spacing w:before="0" w:beforeAutospacing="0" w:after="0" w:afterAutospacing="0"/>
        <w:jc w:val="both"/>
        <w:rPr>
          <w:rFonts w:asciiTheme="minorHAnsi" w:eastAsiaTheme="minorEastAsia" w:hAnsiTheme="minorHAnsi" w:cstheme="minorBidi"/>
        </w:rPr>
      </w:pPr>
    </w:p>
    <w:p w14:paraId="45BECA5B" w14:textId="18EBF461" w:rsidR="35EBD519" w:rsidRDefault="35EBD519" w:rsidP="7D3E1EBB">
      <w:pPr>
        <w:pStyle w:val="Normaallaadveeb"/>
        <w:spacing w:before="0" w:beforeAutospacing="0" w:after="0" w:afterAutospacing="0"/>
        <w:jc w:val="both"/>
        <w:rPr>
          <w:rFonts w:asciiTheme="minorHAnsi" w:eastAsiaTheme="minorEastAsia" w:hAnsiTheme="minorHAnsi" w:cstheme="minorBidi"/>
        </w:rPr>
      </w:pPr>
      <w:r w:rsidRPr="27B3A8D1">
        <w:rPr>
          <w:rFonts w:asciiTheme="minorHAnsi" w:eastAsiaTheme="minorEastAsia" w:hAnsiTheme="minorHAnsi" w:cstheme="minorBidi"/>
        </w:rPr>
        <w:t>Ehitusloa andmise</w:t>
      </w:r>
      <w:r w:rsidR="030F4833" w:rsidRPr="27B3A8D1">
        <w:rPr>
          <w:rFonts w:asciiTheme="minorHAnsi" w:eastAsiaTheme="minorEastAsia" w:hAnsiTheme="minorHAnsi" w:cstheme="minorBidi"/>
        </w:rPr>
        <w:t>l</w:t>
      </w:r>
      <w:r w:rsidRPr="27B3A8D1">
        <w:rPr>
          <w:rFonts w:asciiTheme="minorHAnsi" w:eastAsiaTheme="minorEastAsia" w:hAnsiTheme="minorHAnsi" w:cstheme="minorBidi"/>
        </w:rPr>
        <w:t xml:space="preserve"> kaalub</w:t>
      </w:r>
      <w:r w:rsidR="6D47CA18" w:rsidRPr="27B3A8D1">
        <w:rPr>
          <w:rFonts w:asciiTheme="minorHAnsi" w:eastAsiaTheme="minorEastAsia" w:hAnsiTheme="minorHAnsi" w:cstheme="minorBidi"/>
        </w:rPr>
        <w:t xml:space="preserve"> TTJA täiendavalt edasise KMH vajadust.</w:t>
      </w:r>
    </w:p>
    <w:p w14:paraId="3E748533" w14:textId="4AFD1D97" w:rsidR="25CC9110" w:rsidRDefault="25CC9110" w:rsidP="00206181">
      <w:pPr>
        <w:pStyle w:val="Normaallaadveeb"/>
        <w:spacing w:before="0" w:beforeAutospacing="0" w:after="0" w:afterAutospacing="0"/>
        <w:jc w:val="both"/>
        <w:rPr>
          <w:rFonts w:asciiTheme="minorHAnsi" w:hAnsiTheme="minorHAnsi"/>
        </w:rPr>
      </w:pPr>
    </w:p>
    <w:p w14:paraId="5D1BE33B" w14:textId="238FE79A" w:rsidR="7CF431B9" w:rsidRDefault="7CF431B9" w:rsidP="7D29A2AD">
      <w:pPr>
        <w:pStyle w:val="Normaallaadveeb"/>
        <w:spacing w:before="0" w:beforeAutospacing="0" w:after="0" w:afterAutospacing="0"/>
        <w:jc w:val="both"/>
        <w:rPr>
          <w:rFonts w:asciiTheme="minorHAnsi" w:hAnsiTheme="minorHAnsi"/>
        </w:rPr>
      </w:pPr>
      <w:r w:rsidRPr="7D29A2AD">
        <w:rPr>
          <w:rFonts w:asciiTheme="minorHAnsi" w:hAnsiTheme="minorHAnsi"/>
        </w:rPr>
        <w:t>Keskkonnaaspektides, kus KSH käigus on leitud</w:t>
      </w:r>
      <w:r w:rsidR="3BD06AE1" w:rsidRPr="7D29A2AD">
        <w:rPr>
          <w:rFonts w:asciiTheme="minorHAnsi" w:hAnsiTheme="minorHAnsi"/>
        </w:rPr>
        <w:t xml:space="preserve"> vähest või mõõdukat mõju kaitsetööstuspargi rajamisel või kasutamisel, on </w:t>
      </w:r>
      <w:r w:rsidR="1EA89366" w:rsidRPr="7D29A2AD">
        <w:rPr>
          <w:rFonts w:asciiTheme="minorHAnsi" w:hAnsiTheme="minorHAnsi"/>
        </w:rPr>
        <w:t>välja toodud ka detailsed leevendavad meetmed (näiteks müra mõju puhul linnustikule või kohalikele elanikel valida lõhkamiseks sobivaid kell</w:t>
      </w:r>
      <w:r w:rsidR="4A234128" w:rsidRPr="7D29A2AD">
        <w:rPr>
          <w:rFonts w:asciiTheme="minorHAnsi" w:hAnsiTheme="minorHAnsi"/>
        </w:rPr>
        <w:t>a- või aastaaegu</w:t>
      </w:r>
      <w:r w:rsidR="57C4A497" w:rsidRPr="7D29A2AD">
        <w:rPr>
          <w:rFonts w:asciiTheme="minorHAnsi" w:hAnsiTheme="minorHAnsi"/>
        </w:rPr>
        <w:t xml:space="preserve"> või valida lõhkamisplatsile teatud ala</w:t>
      </w:r>
      <w:r w:rsidR="221F3C16" w:rsidRPr="7D29A2AD">
        <w:rPr>
          <w:rFonts w:asciiTheme="minorHAnsi" w:hAnsiTheme="minorHAnsi"/>
        </w:rPr>
        <w:t xml:space="preserve"> pargis</w:t>
      </w:r>
      <w:r w:rsidR="57C4A497" w:rsidRPr="7D29A2AD">
        <w:rPr>
          <w:rFonts w:asciiTheme="minorHAnsi" w:hAnsiTheme="minorHAnsi"/>
        </w:rPr>
        <w:t>, kus mürahäire on kõige väiksem</w:t>
      </w:r>
      <w:r w:rsidR="4A234128" w:rsidRPr="7D29A2AD">
        <w:rPr>
          <w:rFonts w:asciiTheme="minorHAnsi" w:hAnsiTheme="minorHAnsi"/>
        </w:rPr>
        <w:t>)</w:t>
      </w:r>
      <w:r w:rsidR="388B7687" w:rsidRPr="7D29A2AD">
        <w:rPr>
          <w:rFonts w:asciiTheme="minorHAnsi" w:hAnsiTheme="minorHAnsi"/>
        </w:rPr>
        <w:t>. Sellised meetmed võivad olla kohustuslikud või ka soovituslikud.</w:t>
      </w:r>
      <w:r w:rsidR="46B2F77A" w:rsidRPr="7D29A2AD">
        <w:rPr>
          <w:rFonts w:asciiTheme="minorHAnsi" w:hAnsiTheme="minorHAnsi"/>
        </w:rPr>
        <w:t xml:space="preserve"> Mõned mõjud on KSH</w:t>
      </w:r>
      <w:r w:rsidR="6735F6A2" w:rsidRPr="7D29A2AD">
        <w:rPr>
          <w:rFonts w:asciiTheme="minorHAnsi" w:hAnsiTheme="minorHAnsi"/>
        </w:rPr>
        <w:t>-s</w:t>
      </w:r>
      <w:r w:rsidR="46B2F77A" w:rsidRPr="7D29A2AD">
        <w:rPr>
          <w:rFonts w:asciiTheme="minorHAnsi" w:hAnsiTheme="minorHAnsi"/>
        </w:rPr>
        <w:t xml:space="preserve"> </w:t>
      </w:r>
      <w:r w:rsidR="56F68278" w:rsidRPr="7D29A2AD">
        <w:rPr>
          <w:rFonts w:asciiTheme="minorHAnsi" w:hAnsiTheme="minorHAnsi"/>
        </w:rPr>
        <w:t>välja toodud kui võimalikud, mille olemasolu selgub ja millega tuleb arvestada kas projekteerimise käigus või ehituse algamisel.</w:t>
      </w:r>
      <w:r w:rsidR="5F3D470D" w:rsidRPr="7D29A2AD">
        <w:rPr>
          <w:rFonts w:asciiTheme="minorHAnsi" w:hAnsiTheme="minorHAnsi"/>
        </w:rPr>
        <w:t xml:space="preserve"> Selliste mõjude puhul on vaja</w:t>
      </w:r>
      <w:r w:rsidR="2769E3CB" w:rsidRPr="7D29A2AD">
        <w:rPr>
          <w:rFonts w:asciiTheme="minorHAnsi" w:hAnsiTheme="minorHAnsi"/>
        </w:rPr>
        <w:t xml:space="preserve"> neid mainida vastavates hankedokumentides</w:t>
      </w:r>
      <w:r w:rsidR="27B9CA62" w:rsidRPr="7D29A2AD">
        <w:rPr>
          <w:rFonts w:asciiTheme="minorHAnsi" w:hAnsiTheme="minorHAnsi"/>
        </w:rPr>
        <w:t xml:space="preserve">. </w:t>
      </w:r>
    </w:p>
    <w:p w14:paraId="74E7FB19" w14:textId="77777777" w:rsidR="00A456BA" w:rsidRPr="001D0868" w:rsidRDefault="00A456BA" w:rsidP="000853DA">
      <w:pPr>
        <w:pStyle w:val="Normaallaadveeb"/>
        <w:jc w:val="both"/>
        <w:rPr>
          <w:rStyle w:val="eop"/>
          <w:rFonts w:asciiTheme="minorHAnsi" w:eastAsiaTheme="majorEastAsia" w:hAnsiTheme="minorHAnsi"/>
          <w:color w:val="000000"/>
          <w:shd w:val="clear" w:color="auto" w:fill="FFFFFF"/>
        </w:rPr>
      </w:pPr>
    </w:p>
    <w:p w14:paraId="70BC4052" w14:textId="7B35BB0E" w:rsidR="00E13BFB" w:rsidRDefault="7DA7942B" w:rsidP="00F80A5B">
      <w:pPr>
        <w:pStyle w:val="Pealkiri2"/>
        <w:rPr>
          <w:rFonts w:eastAsia="Cambria"/>
        </w:rPr>
      </w:pPr>
      <w:bookmarkStart w:id="11" w:name="_Toc1343342472"/>
      <w:bookmarkStart w:id="12" w:name="_Toc213770832"/>
      <w:r w:rsidRPr="4919EC1B">
        <w:rPr>
          <w:rFonts w:eastAsia="Cambria"/>
        </w:rPr>
        <w:lastRenderedPageBreak/>
        <w:t xml:space="preserve">3.2 </w:t>
      </w:r>
      <w:r w:rsidR="616C5D95" w:rsidRPr="4919EC1B">
        <w:rPr>
          <w:rFonts w:eastAsia="Cambria"/>
        </w:rPr>
        <w:t>Sõjaväelise liikuvuse investeeringud (TEN-T maanteede, raudteede ehitus ja rekonstrueerimine)</w:t>
      </w:r>
      <w:bookmarkEnd w:id="11"/>
      <w:bookmarkEnd w:id="12"/>
    </w:p>
    <w:p w14:paraId="66256E23" w14:textId="1B864219" w:rsidR="1912696C" w:rsidRDefault="5C5E6061" w:rsidP="4919EC1B">
      <w:pPr>
        <w:jc w:val="both"/>
      </w:pPr>
      <w:r>
        <w:t>Sõjaväelise liikuvuse investeeringutele on teostatud keskkonnamõjude</w:t>
      </w:r>
      <w:r w:rsidR="381ADC9D">
        <w:t xml:space="preserve"> </w:t>
      </w:r>
      <w:r>
        <w:t>hindamised.</w:t>
      </w:r>
    </w:p>
    <w:p w14:paraId="4DEA6387" w14:textId="410D8812" w:rsidR="00017E70" w:rsidRPr="00017E70" w:rsidRDefault="234CBBE4" w:rsidP="2999F8CB">
      <w:pPr>
        <w:pStyle w:val="Pealkiri3"/>
      </w:pPr>
      <w:bookmarkStart w:id="13" w:name="_Toc50067002"/>
      <w:bookmarkStart w:id="14" w:name="_Toc213770833"/>
      <w:r>
        <w:t xml:space="preserve">3.2.1. Rail Balticu </w:t>
      </w:r>
      <w:proofErr w:type="spellStart"/>
      <w:r>
        <w:t>Soodevahe</w:t>
      </w:r>
      <w:proofErr w:type="spellEnd"/>
      <w:r w:rsidR="48799956">
        <w:t xml:space="preserve"> </w:t>
      </w:r>
      <w:r w:rsidR="58897424">
        <w:t>depoo</w:t>
      </w:r>
      <w:bookmarkEnd w:id="13"/>
      <w:bookmarkEnd w:id="14"/>
    </w:p>
    <w:p w14:paraId="0E1DE910" w14:textId="015C141D" w:rsidR="58897424" w:rsidRDefault="58897424" w:rsidP="4919EC1B">
      <w:pPr>
        <w:jc w:val="both"/>
      </w:pPr>
      <w:r w:rsidRPr="4919EC1B">
        <w:rPr>
          <w:rFonts w:eastAsiaTheme="minorEastAsia"/>
        </w:rPr>
        <w:t xml:space="preserve">Raudteetaristul kavandatavad investeeringud hõlmavad </w:t>
      </w:r>
      <w:proofErr w:type="spellStart"/>
      <w:r w:rsidRPr="4919EC1B">
        <w:rPr>
          <w:rFonts w:eastAsiaTheme="minorEastAsia"/>
        </w:rPr>
        <w:t>Soodevahe</w:t>
      </w:r>
      <w:proofErr w:type="spellEnd"/>
      <w:r w:rsidRPr="4919EC1B">
        <w:rPr>
          <w:rFonts w:eastAsiaTheme="minorEastAsia"/>
        </w:rPr>
        <w:t xml:space="preserve"> depoo rajamist, mis täidab strateegilist rolli veeremi hoolduse, tehnilise kontrolli ja operatiivse valmisoleku tagamisel.</w:t>
      </w:r>
      <w:r w:rsidRPr="4919EC1B">
        <w:t xml:space="preserve"> </w:t>
      </w:r>
    </w:p>
    <w:p w14:paraId="11699B16" w14:textId="1FAD89BE" w:rsidR="58897424" w:rsidRDefault="58897424" w:rsidP="4919EC1B">
      <w:pPr>
        <w:jc w:val="both"/>
        <w:rPr>
          <w:rFonts w:eastAsiaTheme="minorEastAsia"/>
        </w:rPr>
      </w:pPr>
      <w:r>
        <w:t xml:space="preserve">Depoo ala </w:t>
      </w:r>
      <w:r w:rsidR="2F27073C">
        <w:t>keskkonnamõjusid on hinnatud</w:t>
      </w:r>
      <w:r>
        <w:t xml:space="preserve"> </w:t>
      </w:r>
      <w:r w:rsidR="687FC9B4">
        <w:t>Rail Balticu</w:t>
      </w:r>
      <w:r w:rsidR="62DD0AF6">
        <w:t xml:space="preserve"> </w:t>
      </w:r>
      <w:r w:rsidR="4D65E0FC">
        <w:t>raudteetrassi lõigu “</w:t>
      </w:r>
      <w:proofErr w:type="spellStart"/>
      <w:r w:rsidR="4D65E0FC">
        <w:t>Soodevahe</w:t>
      </w:r>
      <w:proofErr w:type="spellEnd"/>
      <w:r w:rsidR="7C56AB23">
        <w:t>–</w:t>
      </w:r>
      <w:r w:rsidR="4D65E0FC">
        <w:t xml:space="preserve">Muuga” ehitusprojekti </w:t>
      </w:r>
      <w:r w:rsidR="62DD0AF6">
        <w:t>KMH aruan</w:t>
      </w:r>
      <w:r w:rsidR="39A29066">
        <w:t>de</w:t>
      </w:r>
      <w:r w:rsidR="5AC75C3A">
        <w:t xml:space="preserve"> koosseisus, mille</w:t>
      </w:r>
      <w:r w:rsidR="39A29066">
        <w:t xml:space="preserve"> tunnistas </w:t>
      </w:r>
      <w:r w:rsidR="62DD0AF6">
        <w:t>Tarbijakaitse ja Tehnilise Järelevalve Ameti</w:t>
      </w:r>
      <w:r w:rsidR="7FB5FE76">
        <w:t xml:space="preserve"> nõuetele vastavaks </w:t>
      </w:r>
      <w:r w:rsidR="62DD0AF6">
        <w:t xml:space="preserve"> </w:t>
      </w:r>
      <w:r w:rsidR="2BA724E0">
        <w:t xml:space="preserve">28.08.2024 ja avaldas aruande TTJA </w:t>
      </w:r>
      <w:r w:rsidR="62DD0AF6">
        <w:t xml:space="preserve">kodulehel - </w:t>
      </w:r>
      <w:hyperlink r:id="rId13">
        <w:r w:rsidR="4CD1F889" w:rsidRPr="4919EC1B">
          <w:rPr>
            <w:rStyle w:val="Hperlink"/>
            <w:rFonts w:ascii="Aptos" w:eastAsia="Aptos" w:hAnsi="Aptos" w:cs="Aptos"/>
          </w:rPr>
          <w:t>Rail Balticu keskkonnamõjude hindamine (KMH) .</w:t>
        </w:r>
      </w:hyperlink>
      <w:r w:rsidR="02C98E42" w:rsidRPr="4919EC1B">
        <w:rPr>
          <w:rFonts w:eastAsiaTheme="minorEastAsia"/>
        </w:rPr>
        <w:t xml:space="preserve"> </w:t>
      </w:r>
    </w:p>
    <w:p w14:paraId="2008EE04" w14:textId="24FF448B" w:rsidR="063BE8B6" w:rsidRDefault="063BE8B6" w:rsidP="4919EC1B">
      <w:pPr>
        <w:jc w:val="both"/>
        <w:rPr>
          <w:rFonts w:ascii="Aptos" w:eastAsia="Aptos" w:hAnsi="Aptos" w:cs="Aptos"/>
        </w:rPr>
      </w:pPr>
      <w:r w:rsidRPr="4919EC1B">
        <w:rPr>
          <w:rFonts w:ascii="Aptos" w:eastAsia="Aptos" w:hAnsi="Aptos" w:cs="Aptos"/>
        </w:rPr>
        <w:t xml:space="preserve">Veeremidepoo KMH raames teostatud Natura asjakohasel hindamisega tuvastati, et negatiivsed mõjud seoses veeremidepoo rajamise ja kasutamisega Pirita jõe loodusalale ja selle kaitse-eesmärkidele puuduvad, kuna kavandatava lahenduse juures heljumi sissekanne jõkke ei suurene ning ka muud negatiivsed mõjud veekvaliteedile puuduvad. Kuna sadeveed läbivad basseini (vooluhulkade </w:t>
      </w:r>
      <w:proofErr w:type="spellStart"/>
      <w:r w:rsidRPr="4919EC1B">
        <w:rPr>
          <w:rFonts w:ascii="Aptos" w:eastAsia="Aptos" w:hAnsi="Aptos" w:cs="Aptos"/>
        </w:rPr>
        <w:t>keskendi</w:t>
      </w:r>
      <w:proofErr w:type="spellEnd"/>
      <w:r w:rsidRPr="4919EC1B">
        <w:rPr>
          <w:rFonts w:ascii="Aptos" w:eastAsia="Aptos" w:hAnsi="Aptos" w:cs="Aptos"/>
        </w:rPr>
        <w:t>), siis ei muutu ka jõe veerežiim. Seega ei avaldu seoses veeremidepooga negatiivseid mõjusid Pirita jõe ja loodusala veekvaliteedile ega veerežiimile. Arvestades sellega ei avaldu ka koosmõjusid seoses veeremidepoo ja käsitletava raudteelõigu ehitamise ja kasutamisega.</w:t>
      </w:r>
    </w:p>
    <w:p w14:paraId="50974DB8" w14:textId="48BC8555" w:rsidR="2CFCC93E" w:rsidRDefault="2CFCC93E" w:rsidP="4919EC1B">
      <w:pPr>
        <w:jc w:val="both"/>
        <w:rPr>
          <w:rFonts w:ascii="Aptos" w:eastAsia="Aptos" w:hAnsi="Aptos" w:cs="Aptos"/>
        </w:rPr>
      </w:pPr>
      <w:proofErr w:type="spellStart"/>
      <w:r w:rsidRPr="4919EC1B">
        <w:rPr>
          <w:rFonts w:ascii="Aptos" w:eastAsia="Aptos" w:hAnsi="Aptos" w:cs="Aptos"/>
        </w:rPr>
        <w:t>Soodevahe</w:t>
      </w:r>
      <w:proofErr w:type="spellEnd"/>
      <w:r w:rsidRPr="4919EC1B">
        <w:rPr>
          <w:rFonts w:ascii="Aptos" w:eastAsia="Aptos" w:hAnsi="Aptos" w:cs="Aptos"/>
        </w:rPr>
        <w:t xml:space="preserve"> sõlmjaamast võib levida ümbritsevasse keskkonda saasteaineid nii õhu kui ka vee kaudu. Veekeskkonna kaitseks on ette nähtud meetmed. Oluline on piirata herbitsiidide kasutamist raudtee hooldusel. Reostuse osas on kavandatava raudtee mõju võrreldes piirkonnas olemasolevate potentsiaalsete reostusallikatega (väga tihe liiklus, naftasaaduste torujuhe, erinevate ohtlike ainete terminalid jm) marginaalne.</w:t>
      </w:r>
    </w:p>
    <w:p w14:paraId="2872601F" w14:textId="5F418699" w:rsidR="5738DB5E" w:rsidRDefault="5738DB5E" w:rsidP="4919EC1B">
      <w:pPr>
        <w:jc w:val="both"/>
        <w:rPr>
          <w:rFonts w:ascii="Aptos" w:eastAsia="Aptos" w:hAnsi="Aptos" w:cs="Aptos"/>
        </w:rPr>
      </w:pPr>
      <w:r w:rsidRPr="4919EC1B">
        <w:rPr>
          <w:rFonts w:ascii="Aptos" w:eastAsia="Aptos" w:hAnsi="Aptos" w:cs="Aptos"/>
        </w:rPr>
        <w:t>Nii ehitusjäätmed (sh lammutusjäätmed) kui ka depoo kasutamisel tekkivad jäätmed on oluline koguda tekkekohal liigiti. Liigiti kogutud jäätmeid ei ole lubatud segada teiste jäätmete ega muude materjalidega, millel on erinevad omadused (</w:t>
      </w:r>
      <w:proofErr w:type="spellStart"/>
      <w:r w:rsidRPr="4919EC1B">
        <w:rPr>
          <w:rFonts w:ascii="Aptos" w:eastAsia="Aptos" w:hAnsi="Aptos" w:cs="Aptos"/>
        </w:rPr>
        <w:t>JäätS</w:t>
      </w:r>
      <w:proofErr w:type="spellEnd"/>
      <w:r w:rsidRPr="4919EC1B">
        <w:rPr>
          <w:rFonts w:ascii="Aptos" w:eastAsia="Aptos" w:hAnsi="Aptos" w:cs="Aptos"/>
        </w:rPr>
        <w:t xml:space="preserve"> § 14 lg 12 ). Jäätmete liigiti kogumise eesmärk on võimaldada nende korduskasutuseks ettevalmistamist, ringlussevõttu või muud taaskasutamist võimalikult suures ulatuses.</w:t>
      </w:r>
    </w:p>
    <w:p w14:paraId="01FB8674" w14:textId="3C46DBD1" w:rsidR="18DFCAE7" w:rsidRDefault="18DFCAE7" w:rsidP="4919EC1B">
      <w:pPr>
        <w:jc w:val="both"/>
        <w:rPr>
          <w:rFonts w:ascii="Aptos" w:eastAsia="Aptos" w:hAnsi="Aptos" w:cs="Aptos"/>
        </w:rPr>
      </w:pPr>
      <w:r w:rsidRPr="4919EC1B">
        <w:rPr>
          <w:rFonts w:ascii="Aptos" w:eastAsia="Aptos" w:hAnsi="Aptos" w:cs="Aptos"/>
        </w:rPr>
        <w:t xml:space="preserve">Ehitustegevusega ei ole lubatud rikkuda Pirita jõe hüdroloogilist režiimi ja olemasolevat kvaliteediseisundit. </w:t>
      </w:r>
    </w:p>
    <w:p w14:paraId="246E77BA" w14:textId="6590CA8B" w:rsidR="33AEEC88" w:rsidRDefault="33AEEC88" w:rsidP="4919EC1B">
      <w:pPr>
        <w:jc w:val="both"/>
        <w:rPr>
          <w:rFonts w:ascii="Aptos" w:eastAsia="Aptos" w:hAnsi="Aptos" w:cs="Aptos"/>
        </w:rPr>
      </w:pPr>
      <w:proofErr w:type="spellStart"/>
      <w:r w:rsidRPr="4919EC1B">
        <w:rPr>
          <w:rFonts w:ascii="Aptos" w:eastAsia="Aptos" w:hAnsi="Aptos" w:cs="Aptos"/>
        </w:rPr>
        <w:t>Soodevahe</w:t>
      </w:r>
      <w:proofErr w:type="spellEnd"/>
      <w:r w:rsidRPr="4919EC1B">
        <w:rPr>
          <w:rFonts w:ascii="Aptos" w:eastAsia="Aptos" w:hAnsi="Aptos" w:cs="Aptos"/>
        </w:rPr>
        <w:t xml:space="preserve"> sõlmjaama edasisel projekteerimisel tuleb kaaluda päikesepatareide kasutamist kõigil selleks sobivatel hoonetel ja rajatistel. </w:t>
      </w:r>
      <w:r w:rsidR="1E2AB0B1" w:rsidRPr="4919EC1B">
        <w:rPr>
          <w:rFonts w:ascii="Aptos" w:eastAsia="Aptos" w:hAnsi="Aptos" w:cs="Aptos"/>
        </w:rPr>
        <w:t xml:space="preserve">Kasutusetapis raudteeveeremi opereerimisel 100% ja </w:t>
      </w:r>
      <w:proofErr w:type="spellStart"/>
      <w:r w:rsidR="1E2AB0B1" w:rsidRPr="4919EC1B">
        <w:rPr>
          <w:rFonts w:ascii="Aptos" w:eastAsia="Aptos" w:hAnsi="Aptos" w:cs="Aptos"/>
        </w:rPr>
        <w:t>Soodevahe</w:t>
      </w:r>
      <w:proofErr w:type="spellEnd"/>
      <w:r w:rsidR="1E2AB0B1" w:rsidRPr="4919EC1B">
        <w:rPr>
          <w:rFonts w:ascii="Aptos" w:eastAsia="Aptos" w:hAnsi="Aptos" w:cs="Aptos"/>
        </w:rPr>
        <w:t xml:space="preserve"> sõlmjaamas taastuvenergia kasutamine. </w:t>
      </w:r>
    </w:p>
    <w:p w14:paraId="4CA5B265" w14:textId="1C2F92DA" w:rsidR="1E2AB0B1" w:rsidRDefault="1E2AB0B1" w:rsidP="4919EC1B">
      <w:pPr>
        <w:jc w:val="both"/>
        <w:rPr>
          <w:rFonts w:ascii="Aptos" w:eastAsia="Aptos" w:hAnsi="Aptos" w:cs="Aptos"/>
        </w:rPr>
      </w:pPr>
      <w:r w:rsidRPr="4919EC1B">
        <w:rPr>
          <w:rFonts w:ascii="Aptos" w:eastAsia="Aptos" w:hAnsi="Aptos" w:cs="Aptos"/>
        </w:rPr>
        <w:t xml:space="preserve">Olukorras, kus kliimamuutuste tõttu on sademete hulk ja valingvihmade intensiivsus kasvutrendis, on esmatähtis </w:t>
      </w:r>
      <w:proofErr w:type="spellStart"/>
      <w:r w:rsidRPr="4919EC1B">
        <w:rPr>
          <w:rFonts w:ascii="Aptos" w:eastAsia="Aptos" w:hAnsi="Aptos" w:cs="Aptos"/>
        </w:rPr>
        <w:t>Soodevahe</w:t>
      </w:r>
      <w:proofErr w:type="spellEnd"/>
      <w:r w:rsidRPr="4919EC1B">
        <w:rPr>
          <w:rFonts w:ascii="Aptos" w:eastAsia="Aptos" w:hAnsi="Aptos" w:cs="Aptos"/>
        </w:rPr>
        <w:t xml:space="preserve"> sõlmjaama </w:t>
      </w:r>
      <w:r w:rsidR="00A04D38" w:rsidRPr="4919EC1B">
        <w:rPr>
          <w:rFonts w:ascii="Aptos" w:eastAsia="Aptos" w:hAnsi="Aptos" w:cs="Aptos"/>
        </w:rPr>
        <w:t>territooriumil</w:t>
      </w:r>
      <w:r w:rsidRPr="4919EC1B">
        <w:rPr>
          <w:rFonts w:ascii="Aptos" w:eastAsia="Aptos" w:hAnsi="Aptos" w:cs="Aptos"/>
        </w:rPr>
        <w:t xml:space="preserve"> kokku kogutava </w:t>
      </w:r>
      <w:r w:rsidRPr="4919EC1B">
        <w:rPr>
          <w:rFonts w:ascii="Aptos" w:eastAsia="Aptos" w:hAnsi="Aptos" w:cs="Aptos"/>
        </w:rPr>
        <w:lastRenderedPageBreak/>
        <w:t>sademevee hulga piiramine. Selleks tuleb võimaluse korral hoiduda kõvakattega, vett mitte läbilaskvate pindade, rajamisest. Seetõttu on oluline, et sõlmjaama kavandatavad auto- ja kergliiklusteede ning parkimiskohtade aluspind võimaldaks sademeveel pinnasesse imbuda. Meede aitab tagada ka spontaanselt kujuneva taimkatte liigilist mitmekesisust.</w:t>
      </w:r>
    </w:p>
    <w:p w14:paraId="60498B27" w14:textId="411B45D9" w:rsidR="6E973811" w:rsidRDefault="72061078" w:rsidP="4919EC1B">
      <w:pPr>
        <w:pStyle w:val="Pealkiri3"/>
        <w:jc w:val="both"/>
      </w:pPr>
      <w:bookmarkStart w:id="15" w:name="_Toc1155863077"/>
      <w:bookmarkStart w:id="16" w:name="_Toc213770834"/>
      <w:r>
        <w:t xml:space="preserve">3.2.2. </w:t>
      </w:r>
      <w:r w:rsidR="73A275DC">
        <w:t>Ri</w:t>
      </w:r>
      <w:r w:rsidR="15A93AF1">
        <w:t>igi</w:t>
      </w:r>
      <w:r w:rsidR="73A275DC">
        <w:t xml:space="preserve">tee 4, </w:t>
      </w:r>
      <w:r>
        <w:t>Tallinn</w:t>
      </w:r>
      <w:r w:rsidR="6903DEBD">
        <w:t>a</w:t>
      </w:r>
      <w:r>
        <w:t>-Pärnu-Ikla riigimaante</w:t>
      </w:r>
      <w:r w:rsidR="180AE1B3">
        <w:t>e</w:t>
      </w:r>
      <w:r>
        <w:t xml:space="preserve"> </w:t>
      </w:r>
      <w:r w:rsidR="17878E53">
        <w:t>km 62,2</w:t>
      </w:r>
      <w:r w:rsidR="662755C0">
        <w:t>–</w:t>
      </w:r>
      <w:r w:rsidR="17878E53">
        <w:t>78,8</w:t>
      </w:r>
      <w:r w:rsidR="56AE5D40">
        <w:t xml:space="preserve"> </w:t>
      </w:r>
      <w:proofErr w:type="spellStart"/>
      <w:r w:rsidR="56AE5D40">
        <w:t>Päädeva</w:t>
      </w:r>
      <w:proofErr w:type="spellEnd"/>
      <w:r w:rsidR="56AE5D40">
        <w:t>-Konuvere teelõik</w:t>
      </w:r>
      <w:bookmarkEnd w:id="15"/>
      <w:bookmarkEnd w:id="16"/>
    </w:p>
    <w:p w14:paraId="33FBAC59" w14:textId="51B5E11F" w:rsidR="77A24C8F" w:rsidRDefault="42C29C3A" w:rsidP="2999F8CB">
      <w:pPr>
        <w:jc w:val="both"/>
        <w:rPr>
          <w:rFonts w:ascii="Aptos" w:eastAsia="Aptos" w:hAnsi="Aptos" w:cs="Aptos"/>
        </w:rPr>
      </w:pPr>
      <w:r w:rsidRPr="4919EC1B">
        <w:rPr>
          <w:rFonts w:ascii="Aptos" w:eastAsia="Aptos" w:hAnsi="Aptos" w:cs="Aptos"/>
        </w:rPr>
        <w:t>Riigite</w:t>
      </w:r>
      <w:r w:rsidR="7226E414" w:rsidRPr="4919EC1B">
        <w:rPr>
          <w:rFonts w:ascii="Aptos" w:eastAsia="Aptos" w:hAnsi="Aptos" w:cs="Aptos"/>
        </w:rPr>
        <w:t>e</w:t>
      </w:r>
      <w:r w:rsidRPr="4919EC1B">
        <w:rPr>
          <w:rFonts w:ascii="Aptos" w:eastAsia="Aptos" w:hAnsi="Aptos" w:cs="Aptos"/>
        </w:rPr>
        <w:t xml:space="preserve"> 4, Tallinn</w:t>
      </w:r>
      <w:r w:rsidR="247FE31A" w:rsidRPr="4919EC1B">
        <w:rPr>
          <w:rFonts w:ascii="Aptos" w:eastAsia="Aptos" w:hAnsi="Aptos" w:cs="Aptos"/>
        </w:rPr>
        <w:t>a</w:t>
      </w:r>
      <w:r w:rsidRPr="4919EC1B">
        <w:rPr>
          <w:rFonts w:ascii="Aptos" w:eastAsia="Aptos" w:hAnsi="Aptos" w:cs="Aptos"/>
        </w:rPr>
        <w:t>-Pärnu-Ikla (E67) km 62,2</w:t>
      </w:r>
      <w:r w:rsidR="0F83C864">
        <w:t>–</w:t>
      </w:r>
      <w:r w:rsidRPr="4919EC1B">
        <w:rPr>
          <w:rFonts w:ascii="Aptos" w:eastAsia="Aptos" w:hAnsi="Aptos" w:cs="Aptos"/>
        </w:rPr>
        <w:t xml:space="preserve">78,8 teelõigu </w:t>
      </w:r>
      <w:r w:rsidR="29E02024" w:rsidRPr="4919EC1B">
        <w:rPr>
          <w:rFonts w:ascii="Aptos" w:eastAsia="Aptos" w:hAnsi="Aptos" w:cs="Aptos"/>
        </w:rPr>
        <w:t xml:space="preserve">eelprojektiga kavandatavate tegevuste </w:t>
      </w:r>
      <w:r w:rsidRPr="4919EC1B">
        <w:rPr>
          <w:rFonts w:ascii="Aptos" w:eastAsia="Aptos" w:hAnsi="Aptos" w:cs="Aptos"/>
        </w:rPr>
        <w:t>keskkonnamõjude hindami</w:t>
      </w:r>
      <w:r w:rsidR="39EEE0B1" w:rsidRPr="4919EC1B">
        <w:rPr>
          <w:rFonts w:ascii="Aptos" w:eastAsia="Aptos" w:hAnsi="Aptos" w:cs="Aptos"/>
        </w:rPr>
        <w:t>ne teostati</w:t>
      </w:r>
      <w:r w:rsidR="61CFB64C" w:rsidRPr="4919EC1B">
        <w:rPr>
          <w:rFonts w:ascii="Aptos" w:eastAsia="Aptos" w:hAnsi="Aptos" w:cs="Aptos"/>
        </w:rPr>
        <w:t xml:space="preserve"> ja kinnitati Transpordiameti 08.08.2023 otsusega nr 1.1-2/23/130 nõuetele vastavaks. A</w:t>
      </w:r>
      <w:r w:rsidR="39EEE0B1" w:rsidRPr="4919EC1B">
        <w:rPr>
          <w:rFonts w:ascii="Aptos" w:eastAsia="Aptos" w:hAnsi="Aptos" w:cs="Aptos"/>
        </w:rPr>
        <w:t>ruanne on avaldatud</w:t>
      </w:r>
      <w:r w:rsidR="3ED987BA" w:rsidRPr="4919EC1B">
        <w:rPr>
          <w:rFonts w:ascii="Aptos" w:eastAsia="Aptos" w:hAnsi="Aptos" w:cs="Aptos"/>
        </w:rPr>
        <w:t xml:space="preserve"> </w:t>
      </w:r>
      <w:hyperlink r:id="rId14">
        <w:r w:rsidR="3ED987BA" w:rsidRPr="4919EC1B">
          <w:rPr>
            <w:rStyle w:val="Hperlink"/>
            <w:rFonts w:ascii="Aptos" w:eastAsia="Aptos" w:hAnsi="Aptos" w:cs="Aptos"/>
          </w:rPr>
          <w:t>Transpordiameti kodulehel</w:t>
        </w:r>
      </w:hyperlink>
      <w:r w:rsidR="5AFD9198" w:rsidRPr="4919EC1B">
        <w:rPr>
          <w:rFonts w:ascii="Aptos" w:eastAsia="Aptos" w:hAnsi="Aptos" w:cs="Aptos"/>
        </w:rPr>
        <w:t>t</w:t>
      </w:r>
      <w:r w:rsidR="3ED987BA" w:rsidRPr="4919EC1B">
        <w:rPr>
          <w:rFonts w:ascii="Aptos" w:eastAsia="Aptos" w:hAnsi="Aptos" w:cs="Aptos"/>
        </w:rPr>
        <w:t xml:space="preserve">.  </w:t>
      </w:r>
    </w:p>
    <w:p w14:paraId="458F0004" w14:textId="21BF3A9B" w:rsidR="125BDCB1" w:rsidRDefault="125BDCB1" w:rsidP="2999F8CB">
      <w:pPr>
        <w:jc w:val="both"/>
        <w:rPr>
          <w:rFonts w:ascii="Aptos" w:eastAsia="Aptos" w:hAnsi="Aptos" w:cs="Aptos"/>
        </w:rPr>
      </w:pPr>
      <w:r w:rsidRPr="2999F8CB">
        <w:rPr>
          <w:rFonts w:ascii="Aptos" w:eastAsia="Aptos" w:hAnsi="Aptos" w:cs="Aptos"/>
        </w:rPr>
        <w:t>Keskkonnamõjude hindamise aruanne esitati Euroopa Komisjonile arvamuse andmiseks, kuivõrd</w:t>
      </w:r>
      <w:r w:rsidR="60B869B8" w:rsidRPr="2999F8CB">
        <w:rPr>
          <w:rFonts w:ascii="Aptos" w:eastAsia="Aptos" w:hAnsi="Aptos" w:cs="Aptos"/>
        </w:rPr>
        <w:t xml:space="preserve"> tuvastati negatiivne mõju Märjamaa </w:t>
      </w:r>
      <w:proofErr w:type="spellStart"/>
      <w:r w:rsidR="60B869B8" w:rsidRPr="2999F8CB">
        <w:rPr>
          <w:rFonts w:ascii="Aptos" w:eastAsia="Aptos" w:hAnsi="Aptos" w:cs="Aptos"/>
        </w:rPr>
        <w:t>järtade</w:t>
      </w:r>
      <w:proofErr w:type="spellEnd"/>
      <w:r w:rsidR="60B869B8" w:rsidRPr="2999F8CB">
        <w:rPr>
          <w:rFonts w:ascii="Aptos" w:eastAsia="Aptos" w:hAnsi="Aptos" w:cs="Aptos"/>
        </w:rPr>
        <w:t xml:space="preserve"> maastikukaitsealale (EE0020408).</w:t>
      </w:r>
    </w:p>
    <w:p w14:paraId="5CF04FCE" w14:textId="52B321B7" w:rsidR="60B869B8" w:rsidRDefault="60B869B8" w:rsidP="2999F8CB">
      <w:pPr>
        <w:jc w:val="both"/>
        <w:rPr>
          <w:rFonts w:ascii="Aptos" w:eastAsia="Aptos" w:hAnsi="Aptos" w:cs="Aptos"/>
        </w:rPr>
      </w:pPr>
      <w:r w:rsidRPr="2999F8CB">
        <w:rPr>
          <w:rFonts w:ascii="Aptos" w:eastAsia="Aptos" w:hAnsi="Aptos" w:cs="Aptos"/>
        </w:rPr>
        <w:t xml:space="preserve">Euroopa Komisjon teatas </w:t>
      </w:r>
      <w:r w:rsidR="6774DD2D" w:rsidRPr="2999F8CB">
        <w:rPr>
          <w:rFonts w:ascii="Aptos" w:eastAsia="Aptos" w:hAnsi="Aptos" w:cs="Aptos"/>
        </w:rPr>
        <w:t>14.1.2025 oma otsusest C (2025) 30</w:t>
      </w:r>
      <w:r w:rsidR="7CF14BB7" w:rsidRPr="2999F8CB">
        <w:rPr>
          <w:rFonts w:ascii="Aptos" w:eastAsia="Aptos" w:hAnsi="Aptos" w:cs="Aptos"/>
        </w:rPr>
        <w:t>, milles nõustub</w:t>
      </w:r>
      <w:r w:rsidRPr="2999F8CB">
        <w:rPr>
          <w:rFonts w:ascii="Aptos" w:eastAsia="Aptos" w:hAnsi="Aptos" w:cs="Aptos"/>
        </w:rPr>
        <w:t xml:space="preserve"> Eesti hinnanguga, et projekt on põhjendatud ülekaalukatel avaliku huviga seotud põhjustel.</w:t>
      </w:r>
    </w:p>
    <w:p w14:paraId="146C4407" w14:textId="61E3621A" w:rsidR="60B869B8" w:rsidRDefault="60B869B8" w:rsidP="2999F8CB">
      <w:pPr>
        <w:jc w:val="both"/>
        <w:rPr>
          <w:rFonts w:ascii="Aptos" w:eastAsia="Aptos" w:hAnsi="Aptos" w:cs="Aptos"/>
        </w:rPr>
      </w:pPr>
      <w:r w:rsidRPr="2999F8CB">
        <w:rPr>
          <w:rFonts w:ascii="Aptos" w:eastAsia="Aptos" w:hAnsi="Aptos" w:cs="Aptos"/>
        </w:rPr>
        <w:t>Projekt on vajalik, selleks, et ehitada lõplikult välja Balti riike ühelt poolt Kesk- ja Lääne Euroopaga ning teiselt poolt Põhja-Euroopaga, eelkõige Soome ja Rootsiga ühendav TEN-T põhivõrk. Selleks, et TEN</w:t>
      </w:r>
      <w:r w:rsidR="1EE2C88F" w:rsidRPr="2999F8CB">
        <w:rPr>
          <w:rFonts w:ascii="Aptos" w:eastAsia="Aptos" w:hAnsi="Aptos" w:cs="Aptos"/>
        </w:rPr>
        <w:t>-T põhivõrk 2030 aastaks lõplikult välja ehitada, tuleb ajakohastada Tallinn</w:t>
      </w:r>
      <w:r w:rsidR="04EAA118" w:rsidRPr="2999F8CB">
        <w:rPr>
          <w:rFonts w:ascii="Aptos" w:eastAsia="Aptos" w:hAnsi="Aptos" w:cs="Aptos"/>
        </w:rPr>
        <w:t>a</w:t>
      </w:r>
      <w:r w:rsidR="1EE2C88F" w:rsidRPr="2999F8CB">
        <w:rPr>
          <w:rFonts w:ascii="Aptos" w:eastAsia="Aptos" w:hAnsi="Aptos" w:cs="Aptos"/>
        </w:rPr>
        <w:t>-Pärnu-Ikla maanteed (E67), et see vastaks kiirtee või magistraali standar</w:t>
      </w:r>
      <w:r w:rsidR="57845A8D" w:rsidRPr="2999F8CB">
        <w:rPr>
          <w:rFonts w:ascii="Aptos" w:eastAsia="Aptos" w:hAnsi="Aptos" w:cs="Aptos"/>
        </w:rPr>
        <w:t>d</w:t>
      </w:r>
      <w:r w:rsidR="1EE2C88F" w:rsidRPr="2999F8CB">
        <w:rPr>
          <w:rFonts w:ascii="Aptos" w:eastAsia="Aptos" w:hAnsi="Aptos" w:cs="Aptos"/>
        </w:rPr>
        <w:t>itele.</w:t>
      </w:r>
      <w:r w:rsidR="74BC6480" w:rsidRPr="2999F8CB">
        <w:rPr>
          <w:rFonts w:ascii="Aptos" w:eastAsia="Aptos" w:hAnsi="Aptos" w:cs="Aptos"/>
        </w:rPr>
        <w:t xml:space="preserve"> </w:t>
      </w:r>
    </w:p>
    <w:p w14:paraId="6C8F16F1" w14:textId="18E75124" w:rsidR="74BC6480" w:rsidRDefault="74BC6480" w:rsidP="2999F8CB">
      <w:pPr>
        <w:jc w:val="both"/>
        <w:rPr>
          <w:rFonts w:ascii="Aptos" w:eastAsia="Aptos" w:hAnsi="Aptos" w:cs="Aptos"/>
        </w:rPr>
      </w:pPr>
      <w:r w:rsidRPr="2999F8CB">
        <w:rPr>
          <w:rFonts w:ascii="Aptos" w:eastAsia="Aptos" w:hAnsi="Aptos" w:cs="Aptos"/>
        </w:rPr>
        <w:t>Projekt aitab kaasa Eesti transpordi ja liikuvuse arengukava 2021</w:t>
      </w:r>
      <w:r w:rsidR="50A0EFF4" w:rsidRPr="2999F8CB">
        <w:t>–</w:t>
      </w:r>
      <w:r w:rsidRPr="2999F8CB">
        <w:rPr>
          <w:rFonts w:ascii="Aptos" w:eastAsia="Aptos" w:hAnsi="Aptos" w:cs="Aptos"/>
        </w:rPr>
        <w:t>20</w:t>
      </w:r>
      <w:r w:rsidR="7EDE43D3" w:rsidRPr="2999F8CB">
        <w:rPr>
          <w:rFonts w:ascii="Aptos" w:eastAsia="Aptos" w:hAnsi="Aptos" w:cs="Aptos"/>
        </w:rPr>
        <w:t>3</w:t>
      </w:r>
      <w:r w:rsidRPr="2999F8CB">
        <w:rPr>
          <w:rFonts w:ascii="Aptos" w:eastAsia="Aptos" w:hAnsi="Aptos" w:cs="Aptos"/>
        </w:rPr>
        <w:t>5 eesmärkide saavutamisele, suurendades muu hulgas liiklusohutust ja v</w:t>
      </w:r>
      <w:r w:rsidR="197902A3" w:rsidRPr="2999F8CB">
        <w:rPr>
          <w:rFonts w:ascii="Aptos" w:eastAsia="Aptos" w:hAnsi="Aptos" w:cs="Aptos"/>
        </w:rPr>
        <w:t>ä</w:t>
      </w:r>
      <w:r w:rsidRPr="2999F8CB">
        <w:rPr>
          <w:rFonts w:ascii="Aptos" w:eastAsia="Aptos" w:hAnsi="Aptos" w:cs="Aptos"/>
        </w:rPr>
        <w:t>hendades sõi</w:t>
      </w:r>
      <w:r w:rsidR="3124AB73" w:rsidRPr="2999F8CB">
        <w:rPr>
          <w:rFonts w:ascii="Aptos" w:eastAsia="Aptos" w:hAnsi="Aptos" w:cs="Aptos"/>
        </w:rPr>
        <w:t>d</w:t>
      </w:r>
      <w:r w:rsidRPr="2999F8CB">
        <w:rPr>
          <w:rFonts w:ascii="Aptos" w:eastAsia="Aptos" w:hAnsi="Aptos" w:cs="Aptos"/>
        </w:rPr>
        <w:t>uaega.</w:t>
      </w:r>
      <w:r w:rsidR="29046A33" w:rsidRPr="2999F8CB">
        <w:rPr>
          <w:rFonts w:ascii="Aptos" w:eastAsia="Aptos" w:hAnsi="Aptos" w:cs="Aptos"/>
        </w:rPr>
        <w:t xml:space="preserve"> </w:t>
      </w:r>
    </w:p>
    <w:p w14:paraId="1B374775" w14:textId="207EAE6C" w:rsidR="1120CBA0" w:rsidRDefault="540B05B2" w:rsidP="2999F8CB">
      <w:pPr>
        <w:jc w:val="both"/>
        <w:rPr>
          <w:rFonts w:ascii="Aptos" w:eastAsia="Aptos" w:hAnsi="Aptos" w:cs="Aptos"/>
        </w:rPr>
      </w:pPr>
      <w:r w:rsidRPr="2999F8CB">
        <w:rPr>
          <w:rFonts w:ascii="Aptos" w:eastAsia="Aptos" w:hAnsi="Aptos" w:cs="Aptos"/>
        </w:rPr>
        <w:t>Niisamuti</w:t>
      </w:r>
      <w:r w:rsidR="349EFE6D" w:rsidRPr="2999F8CB">
        <w:rPr>
          <w:rFonts w:ascii="Aptos" w:eastAsia="Aptos" w:hAnsi="Aptos" w:cs="Aptos"/>
        </w:rPr>
        <w:t xml:space="preserve"> rakendatakse projektiga sõjaväelise liikuvuse tegevuskava</w:t>
      </w:r>
      <w:r w:rsidR="1120CBA0" w:rsidRPr="2999F8CB">
        <w:rPr>
          <w:rStyle w:val="Allmrkuseviide"/>
          <w:rFonts w:ascii="Aptos" w:eastAsia="Aptos" w:hAnsi="Aptos" w:cs="Aptos"/>
        </w:rPr>
        <w:footnoteReference w:id="9"/>
      </w:r>
      <w:r w:rsidR="65DBA0AC" w:rsidRPr="2999F8CB">
        <w:rPr>
          <w:rFonts w:ascii="Aptos" w:eastAsia="Aptos" w:hAnsi="Aptos" w:cs="Aptos"/>
        </w:rPr>
        <w:t>, mille eesmärk on tagada sõjaväelaste, kaitseotstarbelise varustuse ja sõjaliste vahendite kiire ja sujuv liikumine ELis ja sellest väljaspool. See avaldab positiivset mõju Balti riikide ja ELi julgeolekule ja kaitsevõimele, parandades kai</w:t>
      </w:r>
      <w:r w:rsidR="0CA8EC22" w:rsidRPr="2999F8CB">
        <w:rPr>
          <w:rFonts w:ascii="Aptos" w:eastAsia="Aptos" w:hAnsi="Aptos" w:cs="Aptos"/>
        </w:rPr>
        <w:t>tseotstarbelise varustuse ja sõjaväelaste liikuvusvõimalusi.</w:t>
      </w:r>
    </w:p>
    <w:p w14:paraId="3EE4F31A" w14:textId="4755ECF3" w:rsidR="1B4CAF3B" w:rsidRDefault="6F57BE11" w:rsidP="4919EC1B">
      <w:pPr>
        <w:jc w:val="both"/>
        <w:rPr>
          <w:rFonts w:ascii="Aptos" w:eastAsia="Aptos" w:hAnsi="Aptos" w:cs="Aptos"/>
        </w:rPr>
      </w:pPr>
      <w:r w:rsidRPr="4919EC1B">
        <w:rPr>
          <w:rFonts w:ascii="Aptos" w:eastAsia="Aptos" w:hAnsi="Aptos" w:cs="Aptos"/>
        </w:rPr>
        <w:t>Võrreldes olemasoleva olukorraga on kavandatava tegevusega kaasnevad suurimad muutused/mõjud seotud maaparandussüsteemide rekonstrueerimise vajaduse ning sildade laiendamisega. Oluliste ja pikaajaliste ebasoodsate (negatiivsete) mõjude ilmnemiste eeldusi ei ole seejuures ette näha.</w:t>
      </w:r>
    </w:p>
    <w:p w14:paraId="7B71B420" w14:textId="4CE916B1" w:rsidR="1B4CAF3B" w:rsidRDefault="53FA3E5B" w:rsidP="4919EC1B">
      <w:pPr>
        <w:jc w:val="both"/>
        <w:rPr>
          <w:rFonts w:ascii="Aptos" w:eastAsia="Aptos" w:hAnsi="Aptos" w:cs="Aptos"/>
        </w:rPr>
      </w:pPr>
      <w:r w:rsidRPr="4919EC1B">
        <w:rPr>
          <w:rFonts w:ascii="Aptos" w:eastAsia="Aptos" w:hAnsi="Aptos" w:cs="Aptos"/>
        </w:rPr>
        <w:t xml:space="preserve">Võrreldes olemasoleva olukorraga on kavandatava tegevuse elluviimiseks vajalik tee laiendamine ja olemasolevate liiklussõlmede muutmine. Siiski ei ole kavandatava tegevuse ellu viimisel ebasoodsaid mõjusid kaitstavatele loodusobjektidele ette näha, </w:t>
      </w:r>
      <w:r w:rsidRPr="4919EC1B">
        <w:rPr>
          <w:rFonts w:ascii="Aptos" w:eastAsia="Aptos" w:hAnsi="Aptos" w:cs="Aptos"/>
        </w:rPr>
        <w:lastRenderedPageBreak/>
        <w:t>lähtudes mh Natura 2000 aladega (siseriiklike kaitsealadega kattuvused) seonduvatest kohustuslikest meetmetest,</w:t>
      </w:r>
    </w:p>
    <w:p w14:paraId="7A71F97A" w14:textId="22C2DB63" w:rsidR="1B4CAF3B" w:rsidRDefault="70D60E83" w:rsidP="4919EC1B">
      <w:pPr>
        <w:jc w:val="both"/>
        <w:rPr>
          <w:rFonts w:ascii="Aptos" w:eastAsia="Aptos" w:hAnsi="Aptos" w:cs="Aptos"/>
        </w:rPr>
      </w:pPr>
      <w:r w:rsidRPr="4919EC1B">
        <w:rPr>
          <w:rFonts w:ascii="Aptos" w:eastAsia="Aptos" w:hAnsi="Aptos" w:cs="Aptos"/>
        </w:rPr>
        <w:t>Olulise ebasoodsa mõju vähendamiseks on esitatud meetmed Kilgi soo metsise elupaiga kaitseks (müratõkkevall). Lisaks on nii metsise kui ka üldiste ökoloogiliste koosluste (sh teiste väärtuslike liikide) efektiivseks toimimiseks seatud tingimusi nii ehituse kui ka maantee kasutuse ajaks.</w:t>
      </w:r>
    </w:p>
    <w:p w14:paraId="63F8AEAF" w14:textId="7CBED2D5" w:rsidR="1B4CAF3B" w:rsidRDefault="2179CB91" w:rsidP="4919EC1B">
      <w:pPr>
        <w:jc w:val="both"/>
        <w:rPr>
          <w:rFonts w:ascii="Aptos" w:eastAsia="Aptos" w:hAnsi="Aptos" w:cs="Aptos"/>
        </w:rPr>
      </w:pPr>
      <w:r w:rsidRPr="4919EC1B">
        <w:rPr>
          <w:rFonts w:ascii="Aptos" w:eastAsia="Aptos" w:hAnsi="Aptos" w:cs="Aptos"/>
        </w:rPr>
        <w:t xml:space="preserve">Ebasoodsaid mõjusid seoses müra ja vibratsiooniga ei ole ette näha, kuivõrd projekti on üle võetud KMH aruande lisas A6 sätestatud müratõkkerajatised. </w:t>
      </w:r>
    </w:p>
    <w:p w14:paraId="1D42F885" w14:textId="08A650D7" w:rsidR="1B4CAF3B" w:rsidRDefault="25846576" w:rsidP="4919EC1B">
      <w:pPr>
        <w:jc w:val="both"/>
        <w:rPr>
          <w:rFonts w:ascii="Aptos" w:eastAsia="Aptos" w:hAnsi="Aptos" w:cs="Aptos"/>
        </w:rPr>
      </w:pPr>
      <w:r w:rsidRPr="4919EC1B">
        <w:rPr>
          <w:rFonts w:ascii="Aptos" w:eastAsia="Aptos" w:hAnsi="Aptos" w:cs="Aptos"/>
        </w:rPr>
        <w:t>Õhukvaliteediga seoses ei ole ebasoodsaid mõjusid ette näha.</w:t>
      </w:r>
    </w:p>
    <w:p w14:paraId="377D6C9D" w14:textId="18F0CAE9" w:rsidR="1B4CAF3B" w:rsidRDefault="25846576" w:rsidP="4919EC1B">
      <w:pPr>
        <w:jc w:val="both"/>
        <w:rPr>
          <w:rFonts w:ascii="Aptos" w:eastAsia="Aptos" w:hAnsi="Aptos" w:cs="Aptos"/>
        </w:rPr>
      </w:pPr>
      <w:r w:rsidRPr="4919EC1B">
        <w:rPr>
          <w:rFonts w:ascii="Aptos" w:eastAsia="Aptos" w:hAnsi="Aptos" w:cs="Aptos"/>
        </w:rPr>
        <w:t xml:space="preserve">Kavandatava tegevuse elluviimisega kaasnevad muutused piirkonna lokaalses maakasutuses, samuti suurenevad kohati inimeste poolt kasutatavad juurdepääsuteede pikkused. Teisalt muudetakse maantee peale- ja </w:t>
      </w:r>
      <w:proofErr w:type="spellStart"/>
      <w:r w:rsidRPr="4919EC1B">
        <w:rPr>
          <w:rFonts w:ascii="Aptos" w:eastAsia="Aptos" w:hAnsi="Aptos" w:cs="Aptos"/>
        </w:rPr>
        <w:t>mahasõidud</w:t>
      </w:r>
      <w:proofErr w:type="spellEnd"/>
      <w:r w:rsidRPr="4919EC1B">
        <w:rPr>
          <w:rFonts w:ascii="Aptos" w:eastAsia="Aptos" w:hAnsi="Aptos" w:cs="Aptos"/>
        </w:rPr>
        <w:t xml:space="preserve"> ning maantee ületamised ohutumaks ja ning suuremate keskuste vahelised ühendused sujuvamaks.</w:t>
      </w:r>
    </w:p>
    <w:p w14:paraId="4A24C8AA" w14:textId="7DDD05F9" w:rsidR="1B4CAF3B" w:rsidRDefault="040006D3" w:rsidP="4919EC1B">
      <w:pPr>
        <w:jc w:val="both"/>
        <w:rPr>
          <w:rFonts w:ascii="Aptos" w:eastAsia="Aptos" w:hAnsi="Aptos" w:cs="Aptos"/>
        </w:rPr>
      </w:pPr>
      <w:r w:rsidRPr="4919EC1B">
        <w:rPr>
          <w:rFonts w:ascii="Aptos" w:eastAsia="Aptos" w:hAnsi="Aptos" w:cs="Aptos"/>
        </w:rPr>
        <w:t>Ressursid – tee ehitusel (väljakaevatav) pinnas (</w:t>
      </w:r>
      <w:proofErr w:type="spellStart"/>
      <w:r w:rsidRPr="4919EC1B">
        <w:rPr>
          <w:rFonts w:ascii="Aptos" w:eastAsia="Aptos" w:hAnsi="Aptos" w:cs="Aptos"/>
        </w:rPr>
        <w:t>ülejääv</w:t>
      </w:r>
      <w:proofErr w:type="spellEnd"/>
      <w:r w:rsidRPr="4919EC1B">
        <w:rPr>
          <w:rFonts w:ascii="Aptos" w:eastAsia="Aptos" w:hAnsi="Aptos" w:cs="Aptos"/>
        </w:rPr>
        <w:t xml:space="preserve">) võimalusel realiseerida tekkekoha läheduses, nt täitmisel, haljastustöödel jms (pinnasvallide rajamine (maaomaniku ja Transpordiameti / tee ehitaja vahelisel kokkuleppel)). Kui tekkivat pinnast ei ole võimalik vastava projekti ehitamisel ära kasutada, siis kaaluda selle kasutamist ajutiste ja kohalike teede rajamisel või teistes, eelkõige </w:t>
      </w:r>
      <w:proofErr w:type="spellStart"/>
      <w:r w:rsidRPr="4919EC1B">
        <w:rPr>
          <w:rFonts w:ascii="Aptos" w:eastAsia="Aptos" w:hAnsi="Aptos" w:cs="Aptos"/>
        </w:rPr>
        <w:t>tee-ehituse</w:t>
      </w:r>
      <w:proofErr w:type="spellEnd"/>
      <w:r w:rsidRPr="4919EC1B">
        <w:rPr>
          <w:rFonts w:ascii="Aptos" w:eastAsia="Aptos" w:hAnsi="Aptos" w:cs="Aptos"/>
        </w:rPr>
        <w:t xml:space="preserve"> projektides.</w:t>
      </w:r>
    </w:p>
    <w:p w14:paraId="5F553282" w14:textId="74B5FCC6" w:rsidR="1B4CAF3B" w:rsidRDefault="040006D3" w:rsidP="4919EC1B">
      <w:pPr>
        <w:jc w:val="both"/>
        <w:rPr>
          <w:rFonts w:ascii="Aptos" w:eastAsia="Aptos" w:hAnsi="Aptos" w:cs="Aptos"/>
        </w:rPr>
      </w:pPr>
      <w:r w:rsidRPr="4919EC1B">
        <w:rPr>
          <w:rFonts w:ascii="Aptos" w:eastAsia="Aptos" w:hAnsi="Aptos" w:cs="Aptos"/>
        </w:rPr>
        <w:t>Kliimategurid (meede suunav, ei rakendu vaid käesoleva projekti tõttu) – Transpordiameti haldusalas välja töötada raadatavate metsaalade asendusalade loomise või kompenseerimise metoodikad, koostöös riigi teiste ametkondadega ja võimalusel ka eraalgatusel põhinevate projektide teostajatega.</w:t>
      </w:r>
      <w:r w:rsidR="00BA366B">
        <w:rPr>
          <w:rFonts w:ascii="Aptos" w:eastAsia="Aptos" w:hAnsi="Aptos" w:cs="Aptos"/>
        </w:rPr>
        <w:t xml:space="preserve"> </w:t>
      </w:r>
      <w:r w:rsidR="525BA46D" w:rsidRPr="4919EC1B">
        <w:rPr>
          <w:rFonts w:ascii="Aptos" w:eastAsia="Aptos" w:hAnsi="Aptos" w:cs="Aptos"/>
        </w:rPr>
        <w:t>Koostatud on kliimakindluse analüüs ja “ei kahjusta oluliselt” hinnang.</w:t>
      </w:r>
    </w:p>
    <w:p w14:paraId="56813661" w14:textId="778C82D5" w:rsidR="3534EBE6" w:rsidRDefault="76CF64A1" w:rsidP="2999F8CB">
      <w:pPr>
        <w:pStyle w:val="Pealkiri3"/>
      </w:pPr>
      <w:bookmarkStart w:id="17" w:name="_Toc1283534193"/>
      <w:bookmarkStart w:id="18" w:name="_Toc213770835"/>
      <w:r>
        <w:t>3.2.3. Riigitee 4</w:t>
      </w:r>
      <w:r w:rsidR="6CB1F8C8">
        <w:t>,</w:t>
      </w:r>
      <w:r>
        <w:t xml:space="preserve"> Tallinn</w:t>
      </w:r>
      <w:r w:rsidR="29DE660E">
        <w:t>a</w:t>
      </w:r>
      <w:r>
        <w:t>-Pärnu-Ikla km 78,8</w:t>
      </w:r>
      <w:r w:rsidR="3D4EF5CD">
        <w:t>–</w:t>
      </w:r>
      <w:r>
        <w:t>99,0 Konuvere - Pärnu-Jaagupi lõik</w:t>
      </w:r>
      <w:bookmarkEnd w:id="17"/>
      <w:bookmarkEnd w:id="18"/>
    </w:p>
    <w:p w14:paraId="3E978E14" w14:textId="3707927E" w:rsidR="2999F8CB" w:rsidRDefault="2999F8CB" w:rsidP="2999F8CB"/>
    <w:p w14:paraId="2100D0E7" w14:textId="607C0521" w:rsidR="57E4AC47" w:rsidRDefault="70EC4E86" w:rsidP="4919EC1B">
      <w:pPr>
        <w:jc w:val="both"/>
      </w:pPr>
      <w:r>
        <w:t>Riigitee 4</w:t>
      </w:r>
      <w:r w:rsidR="31ED2B54">
        <w:t>, Tallinn</w:t>
      </w:r>
      <w:r w:rsidR="17608758">
        <w:t>a</w:t>
      </w:r>
      <w:r w:rsidR="31ED2B54">
        <w:t>-Pärnu-Ikla 78,8</w:t>
      </w:r>
      <w:r w:rsidR="6CA672A7">
        <w:t>–</w:t>
      </w:r>
      <w:r w:rsidR="31ED2B54">
        <w:t>99,</w:t>
      </w:r>
      <w:r w:rsidR="4F216F22">
        <w:t>0</w:t>
      </w:r>
      <w:r w:rsidR="31ED2B54">
        <w:t xml:space="preserve"> Konuvere</w:t>
      </w:r>
      <w:r w:rsidR="0BBD7D35">
        <w:t>–</w:t>
      </w:r>
      <w:r w:rsidR="31ED2B54">
        <w:t>Pärnu-Jaagupi lõigu keskkonnamõjude hindamise aruande tunnistas Transpor</w:t>
      </w:r>
      <w:r w:rsidR="477F917C">
        <w:t xml:space="preserve">diamet vastavaks 25.07.2024 otsusega nr 1.1-2/24/96. Keskkonnamõjude hindamise aruande leiab </w:t>
      </w:r>
      <w:hyperlink r:id="rId15">
        <w:r w:rsidR="477F917C" w:rsidRPr="4919EC1B">
          <w:rPr>
            <w:rStyle w:val="Hperlink"/>
          </w:rPr>
          <w:t>Transpordiameti kodulehelt</w:t>
        </w:r>
      </w:hyperlink>
      <w:r w:rsidR="477F917C">
        <w:t xml:space="preserve">. </w:t>
      </w:r>
    </w:p>
    <w:p w14:paraId="336E5A20" w14:textId="1288D469" w:rsidR="2999F8CB" w:rsidRDefault="442683FB" w:rsidP="4919EC1B">
      <w:pPr>
        <w:jc w:val="both"/>
        <w:rPr>
          <w:rFonts w:ascii="Aptos" w:eastAsia="Aptos" w:hAnsi="Aptos" w:cs="Aptos"/>
        </w:rPr>
      </w:pPr>
      <w:r w:rsidRPr="4919EC1B">
        <w:rPr>
          <w:rFonts w:ascii="Aptos" w:eastAsia="Aptos" w:hAnsi="Aptos" w:cs="Aptos"/>
        </w:rPr>
        <w:t>Kavandatav tegevus ei ole Natura 2000 võrgustiku alade kaitsekorraldusega seotud ega aita kaasa nende kaitse-eesmärkide saavutamisele.</w:t>
      </w:r>
    </w:p>
    <w:p w14:paraId="71DC2A83" w14:textId="315D9892" w:rsidR="2999F8CB" w:rsidRDefault="442683FB" w:rsidP="4919EC1B">
      <w:pPr>
        <w:jc w:val="both"/>
        <w:rPr>
          <w:rFonts w:ascii="Aptos" w:eastAsia="Aptos" w:hAnsi="Aptos" w:cs="Aptos"/>
        </w:rPr>
      </w:pPr>
      <w:r w:rsidRPr="4919EC1B">
        <w:rPr>
          <w:rFonts w:ascii="Aptos" w:eastAsia="Aptos" w:hAnsi="Aptos" w:cs="Aptos"/>
        </w:rPr>
        <w:t>Natura eelhindamisel tuvastati, et projekteeritava maanteelõigu rajamisel puuduvad otsesed ebasoodsad mõjud Selja-Põdra loodusalale. Arvestades vahemaad loodusalani ning mullastikku ja reljeefi, ei avaldu ka kaudseid mõjusid. Seetõttu puuduvad mõjud ka kaitse-eesmärgiks olevaletele elupaigatüüpidele ja taimeliigile ning ala terviklikkusele.</w:t>
      </w:r>
    </w:p>
    <w:p w14:paraId="438AC9B6" w14:textId="650B2AAF" w:rsidR="2999F8CB" w:rsidRDefault="442683FB" w:rsidP="4919EC1B">
      <w:pPr>
        <w:jc w:val="both"/>
        <w:rPr>
          <w:rFonts w:ascii="Aptos" w:eastAsia="Aptos" w:hAnsi="Aptos" w:cs="Aptos"/>
        </w:rPr>
      </w:pPr>
      <w:r w:rsidRPr="4919EC1B">
        <w:rPr>
          <w:rFonts w:ascii="Aptos" w:eastAsia="Aptos" w:hAnsi="Aptos" w:cs="Aptos"/>
        </w:rPr>
        <w:lastRenderedPageBreak/>
        <w:t>Maakasutuse muutus on kooskõlas varasemalt koostatud maantee trassi teemaplaneeringuga.</w:t>
      </w:r>
    </w:p>
    <w:p w14:paraId="68523E8C" w14:textId="7C7D051D" w:rsidR="2999F8CB" w:rsidRDefault="442683FB" w:rsidP="4919EC1B">
      <w:pPr>
        <w:jc w:val="both"/>
        <w:rPr>
          <w:rFonts w:ascii="Aptos" w:eastAsia="Aptos" w:hAnsi="Aptos" w:cs="Aptos"/>
        </w:rPr>
      </w:pPr>
      <w:r w:rsidRPr="4919EC1B">
        <w:rPr>
          <w:rFonts w:ascii="Aptos" w:eastAsia="Aptos" w:hAnsi="Aptos" w:cs="Aptos"/>
        </w:rPr>
        <w:t xml:space="preserve">Maanteel toimuvast liiklusest tingitud süsinikuheide püsib </w:t>
      </w:r>
      <w:proofErr w:type="spellStart"/>
      <w:r w:rsidRPr="4919EC1B">
        <w:rPr>
          <w:rFonts w:ascii="Aptos" w:eastAsia="Aptos" w:hAnsi="Aptos" w:cs="Aptos"/>
        </w:rPr>
        <w:t>lähiperspektiivis</w:t>
      </w:r>
      <w:proofErr w:type="spellEnd"/>
      <w:r w:rsidRPr="4919EC1B">
        <w:rPr>
          <w:rFonts w:ascii="Aptos" w:eastAsia="Aptos" w:hAnsi="Aptos" w:cs="Aptos"/>
        </w:rPr>
        <w:t xml:space="preserve"> praegusega sarnasel tasemel. Pikemas perspektiivis sõltub heide liikluskoormuse muutustest ning sõidukite kütusekulu ning kütuseliigi osas toimuvatest muutustest. Olulise positiivse mõjuga on eeldatav elektrisõidukite osakaalu kasv, mis toob kaasa sõidukilomeetri kohta arvestatava emissiooni vähenemise. Praegune suhteliselt suur kaubavedude maht võib maanteel oluliselt vähenda Rail Baltic raudtee valmimise järel.</w:t>
      </w:r>
    </w:p>
    <w:p w14:paraId="3A88A4D0" w14:textId="79B501C4" w:rsidR="2999F8CB" w:rsidRDefault="442683FB" w:rsidP="4919EC1B">
      <w:pPr>
        <w:jc w:val="both"/>
        <w:rPr>
          <w:rFonts w:ascii="Aptos" w:eastAsia="Aptos" w:hAnsi="Aptos" w:cs="Aptos"/>
        </w:rPr>
      </w:pPr>
      <w:proofErr w:type="spellStart"/>
      <w:r w:rsidRPr="4919EC1B">
        <w:rPr>
          <w:rFonts w:ascii="Aptos" w:eastAsia="Aptos" w:hAnsi="Aptos" w:cs="Aptos"/>
        </w:rPr>
        <w:t>Ökoduktide</w:t>
      </w:r>
      <w:proofErr w:type="spellEnd"/>
      <w:r w:rsidRPr="4919EC1B">
        <w:rPr>
          <w:rFonts w:ascii="Aptos" w:eastAsia="Aptos" w:hAnsi="Aptos" w:cs="Aptos"/>
        </w:rPr>
        <w:t xml:space="preserve"> toimimiseks on oluline tagada läbipääsu alal ja ühendusteedel ümbritsevate elupaikadega loomadele soodne ja turvaline keskkond. Selleks tuleb loomaläbipääsude ümber 500 m raadiuses </w:t>
      </w:r>
      <w:proofErr w:type="spellStart"/>
      <w:r w:rsidRPr="4919EC1B">
        <w:rPr>
          <w:rFonts w:ascii="Aptos" w:eastAsia="Aptos" w:hAnsi="Aptos" w:cs="Aptos"/>
        </w:rPr>
        <w:t>ökodukti</w:t>
      </w:r>
      <w:proofErr w:type="spellEnd"/>
      <w:r w:rsidRPr="4919EC1B">
        <w:rPr>
          <w:rFonts w:ascii="Aptos" w:eastAsia="Aptos" w:hAnsi="Aptos" w:cs="Aptos"/>
        </w:rPr>
        <w:t xml:space="preserve"> keskpunktist kehtestada kaitsevöönd.</w:t>
      </w:r>
    </w:p>
    <w:p w14:paraId="69014A63" w14:textId="784427F9" w:rsidR="2999F8CB" w:rsidRDefault="442683FB" w:rsidP="4919EC1B">
      <w:pPr>
        <w:jc w:val="both"/>
        <w:rPr>
          <w:rFonts w:ascii="Aptos" w:eastAsia="Aptos" w:hAnsi="Aptos" w:cs="Aptos"/>
        </w:rPr>
      </w:pPr>
      <w:r w:rsidRPr="4919EC1B">
        <w:rPr>
          <w:rFonts w:ascii="Aptos" w:eastAsia="Aptos" w:hAnsi="Aptos" w:cs="Aptos"/>
        </w:rPr>
        <w:t>Sademevee juhtimiseks veekogusse või pinnasesse peavad selles sisalduvad saastenäitajad vastama kehivatele piirväärtustele.</w:t>
      </w:r>
    </w:p>
    <w:p w14:paraId="074BD096" w14:textId="2A4851FA" w:rsidR="2999F8CB" w:rsidRDefault="442683FB" w:rsidP="4919EC1B">
      <w:pPr>
        <w:jc w:val="both"/>
        <w:rPr>
          <w:rFonts w:ascii="Aptos" w:eastAsia="Aptos" w:hAnsi="Aptos" w:cs="Aptos"/>
        </w:rPr>
      </w:pPr>
      <w:r w:rsidRPr="4919EC1B">
        <w:rPr>
          <w:rFonts w:ascii="Aptos" w:eastAsia="Aptos" w:hAnsi="Aptos" w:cs="Aptos"/>
        </w:rPr>
        <w:t>Kõik tekkivad jäätmed tuleb koguda liigiti. Kogumisel tuleb vältida erinevate jäätmeliikide omavahelist segunemist.</w:t>
      </w:r>
    </w:p>
    <w:p w14:paraId="0CA78878" w14:textId="4292F5F3" w:rsidR="2999F8CB" w:rsidRDefault="442683FB" w:rsidP="4919EC1B">
      <w:pPr>
        <w:jc w:val="both"/>
        <w:rPr>
          <w:rFonts w:ascii="Aptos" w:eastAsia="Aptos" w:hAnsi="Aptos" w:cs="Aptos"/>
        </w:rPr>
      </w:pPr>
      <w:r w:rsidRPr="4919EC1B">
        <w:rPr>
          <w:rFonts w:ascii="Aptos" w:eastAsia="Aptos" w:hAnsi="Aptos" w:cs="Aptos"/>
        </w:rPr>
        <w:t>Tolmavaid ehitusmaterjale ja jäätmed tuleb nende käsitlemisel (veol, laadimisel, teisaldamisel, ajutisel ladustamisel jms) vajadusel niisutada, et vältida/vähendada tolmu teket ja levikut.</w:t>
      </w:r>
    </w:p>
    <w:p w14:paraId="76D1D863" w14:textId="5821590B" w:rsidR="2999F8CB" w:rsidRDefault="442683FB" w:rsidP="4919EC1B">
      <w:pPr>
        <w:jc w:val="both"/>
        <w:rPr>
          <w:rFonts w:ascii="Aptos" w:eastAsia="Aptos" w:hAnsi="Aptos" w:cs="Aptos"/>
        </w:rPr>
      </w:pPr>
      <w:r w:rsidRPr="4919EC1B">
        <w:rPr>
          <w:rFonts w:ascii="Aptos" w:eastAsia="Aptos" w:hAnsi="Aptos" w:cs="Aptos"/>
        </w:rPr>
        <w:t>Ehitustööde korraldamisel tuleb arvestada kehtivate müra normtasemetega ja korraldada tööd viisil, et on tagatud normtasemetest kinnipidamine.</w:t>
      </w:r>
    </w:p>
    <w:p w14:paraId="2FA613E1" w14:textId="64EBA033" w:rsidR="2999F8CB" w:rsidRDefault="2999F8CB" w:rsidP="2999F8CB"/>
    <w:p w14:paraId="54D18557" w14:textId="6B69EB00" w:rsidR="3EEE65D1" w:rsidRDefault="41234172" w:rsidP="2999F8CB">
      <w:pPr>
        <w:pStyle w:val="Pealkiri3"/>
      </w:pPr>
      <w:bookmarkStart w:id="19" w:name="_Toc1411022000"/>
      <w:bookmarkStart w:id="20" w:name="_Toc213770836"/>
      <w:r>
        <w:t>3.2.</w:t>
      </w:r>
      <w:r w:rsidR="3A6D54D5">
        <w:t>4</w:t>
      </w:r>
      <w:r>
        <w:t xml:space="preserve">. </w:t>
      </w:r>
      <w:r w:rsidR="348D4629">
        <w:t xml:space="preserve">Riigitee 2, </w:t>
      </w:r>
      <w:r>
        <w:t>Tallinn</w:t>
      </w:r>
      <w:r w:rsidR="6DE060BF">
        <w:t>a</w:t>
      </w:r>
      <w:r>
        <w:t>-Tartu</w:t>
      </w:r>
      <w:r w:rsidR="6167735C">
        <w:t>-Võru-Luhamaa km 87,5</w:t>
      </w:r>
      <w:r w:rsidR="4AE1B1B3">
        <w:t>–</w:t>
      </w:r>
      <w:r w:rsidR="6167735C">
        <w:t>108,1 Mäo-Imavere lõik</w:t>
      </w:r>
      <w:bookmarkEnd w:id="19"/>
      <w:bookmarkEnd w:id="20"/>
    </w:p>
    <w:p w14:paraId="1550CED5" w14:textId="3B6698DA" w:rsidR="54505F09" w:rsidRDefault="5473FD18" w:rsidP="2999F8CB">
      <w:pPr>
        <w:jc w:val="both"/>
      </w:pPr>
      <w:r>
        <w:t>Riigitee 2, Tallinn</w:t>
      </w:r>
      <w:r w:rsidR="497D0498">
        <w:t>a</w:t>
      </w:r>
      <w:r>
        <w:t>-Tartu-Võru-Luhamaa km 87,5</w:t>
      </w:r>
      <w:r w:rsidR="7B5068D3">
        <w:t>–</w:t>
      </w:r>
      <w:r>
        <w:t xml:space="preserve">108,1 Mäo-Imavere lõigu I klassi maantee </w:t>
      </w:r>
      <w:r w:rsidR="1D2B3BD1">
        <w:t>keskkonnamõju hindamise aruande kiitis Transpordiamet heaks 31.08.2023 otsusega nr 1.1-2/23/147</w:t>
      </w:r>
      <w:r w:rsidR="0BA1A1CE">
        <w:t>. Keskkonnamõjude hindamise aruand</w:t>
      </w:r>
      <w:r w:rsidR="1B4236FB">
        <w:t>e leiab</w:t>
      </w:r>
      <w:r w:rsidR="3656B03E">
        <w:t xml:space="preserve"> </w:t>
      </w:r>
      <w:hyperlink r:id="rId16">
        <w:r w:rsidR="3656B03E" w:rsidRPr="4E229F5A">
          <w:rPr>
            <w:rStyle w:val="Hperlink"/>
          </w:rPr>
          <w:t>Transpordiameti kodulehelt</w:t>
        </w:r>
      </w:hyperlink>
      <w:r w:rsidR="1B4236FB">
        <w:t>.</w:t>
      </w:r>
    </w:p>
    <w:p w14:paraId="760CF4B8" w14:textId="4EBB8A71" w:rsidR="006C4930" w:rsidRPr="00BB6E57" w:rsidRDefault="1C66210C" w:rsidP="4919EC1B">
      <w:pPr>
        <w:jc w:val="both"/>
        <w:rPr>
          <w:rFonts w:ascii="Aptos" w:eastAsia="Aptos" w:hAnsi="Aptos" w:cs="Aptos"/>
        </w:rPr>
      </w:pPr>
      <w:r w:rsidRPr="7D29A2AD">
        <w:rPr>
          <w:rFonts w:ascii="Aptos" w:eastAsia="Aptos" w:hAnsi="Aptos" w:cs="Aptos"/>
        </w:rPr>
        <w:t>Kasutusaegne mõju on seotud maantee olemuse ja liikluse eripäradega. Kavandatava tegevuse mõju maakasutusele on oluline, kuna maantee laiendamisega seotud maade kasutamine omab pikaajalist ning püsivat mõju. Seniseid tegevusi (nt põlluharimine) seal enam teha ei ole võimalik. Ohutud ja sujuvad liikluslahendused omavad positiivset mõju maantee kasutajatele ning anna</w:t>
      </w:r>
      <w:r w:rsidR="4DCE69A4" w:rsidRPr="7D29A2AD">
        <w:rPr>
          <w:rFonts w:ascii="Aptos" w:eastAsia="Aptos" w:hAnsi="Aptos" w:cs="Aptos"/>
        </w:rPr>
        <w:t>vad</w:t>
      </w:r>
      <w:r w:rsidRPr="7D29A2AD">
        <w:rPr>
          <w:rFonts w:ascii="Aptos" w:eastAsia="Aptos" w:hAnsi="Aptos" w:cs="Aptos"/>
        </w:rPr>
        <w:t xml:space="preserve"> lisaväärtuse seoses teiste soovitud maakasutuse eesmärkidega piirkonnas laiemalt (ettevõtluse areng, elamualade kavandamine).</w:t>
      </w:r>
    </w:p>
    <w:p w14:paraId="609BF61F" w14:textId="42C32F02" w:rsidR="006C4930" w:rsidRPr="00BB6E57" w:rsidRDefault="2E4EF3D8" w:rsidP="4919EC1B">
      <w:pPr>
        <w:jc w:val="both"/>
        <w:rPr>
          <w:rFonts w:ascii="Aptos" w:eastAsia="Aptos" w:hAnsi="Aptos" w:cs="Aptos"/>
        </w:rPr>
      </w:pPr>
      <w:r w:rsidRPr="4919EC1B">
        <w:rPr>
          <w:rFonts w:ascii="Aptos" w:eastAsia="Aptos" w:hAnsi="Aptos" w:cs="Aptos"/>
        </w:rPr>
        <w:t xml:space="preserve">Projekti realiseerimine mõjutab piiratud ulatuses teatud määral piirkonna olemasolevat veerežiimi. Kui sademe- ja lumesulamisvee ärajuhtimise kavandamisel ja väljaehitamisel juhindutakse piirkonna olemasolevat niiskusrežiimist ning olemasolevate </w:t>
      </w:r>
      <w:r w:rsidRPr="4919EC1B">
        <w:rPr>
          <w:rFonts w:ascii="Aptos" w:eastAsia="Aptos" w:hAnsi="Aptos" w:cs="Aptos"/>
        </w:rPr>
        <w:lastRenderedPageBreak/>
        <w:t>maaparandussüsteemide toimimise tagamisest vähemalt praegusel tasemel, ei ole tegemist olulise negatiivse mõjuga.</w:t>
      </w:r>
    </w:p>
    <w:p w14:paraId="36A85F66" w14:textId="4EDBED4D" w:rsidR="006C4930" w:rsidRPr="00BB6E57" w:rsidRDefault="38AF5809" w:rsidP="4919EC1B">
      <w:pPr>
        <w:jc w:val="both"/>
        <w:rPr>
          <w:rFonts w:ascii="Aptos" w:eastAsia="Aptos" w:hAnsi="Aptos" w:cs="Aptos"/>
        </w:rPr>
      </w:pPr>
      <w:r w:rsidRPr="4919EC1B">
        <w:rPr>
          <w:rFonts w:ascii="Aptos" w:eastAsia="Aptos" w:hAnsi="Aptos" w:cs="Aptos"/>
        </w:rPr>
        <w:t>Projekteeritava maanteelõigu ehitusetapis toimuva metsamaade raadamisega avaldub oluline negatiivne mõju metsadele. Arvestades suhteliselt väikest raadamisala, mis jaotub pikale maanteelõigule on mõju tugevus suhteliselt väike. Antud mõju leevendada ei ole võimalik.</w:t>
      </w:r>
    </w:p>
    <w:p w14:paraId="48669527" w14:textId="1AFC04DD" w:rsidR="006C4930" w:rsidRPr="00BB6E57" w:rsidRDefault="0F3248E5" w:rsidP="4919EC1B">
      <w:pPr>
        <w:jc w:val="both"/>
        <w:rPr>
          <w:rFonts w:ascii="Aptos" w:eastAsia="Aptos" w:hAnsi="Aptos" w:cs="Aptos"/>
        </w:rPr>
      </w:pPr>
      <w:r w:rsidRPr="4919EC1B">
        <w:rPr>
          <w:rFonts w:ascii="Aptos" w:eastAsia="Aptos" w:hAnsi="Aptos" w:cs="Aptos"/>
        </w:rPr>
        <w:t xml:space="preserve">Maantee kasutusetapis suurenevad mõnevõrra häiringud, kuna piirkonna </w:t>
      </w:r>
      <w:proofErr w:type="spellStart"/>
      <w:r w:rsidRPr="4919EC1B">
        <w:rPr>
          <w:rFonts w:ascii="Aptos" w:eastAsia="Aptos" w:hAnsi="Aptos" w:cs="Aptos"/>
        </w:rPr>
        <w:t>teedevõrk</w:t>
      </w:r>
      <w:proofErr w:type="spellEnd"/>
      <w:r w:rsidRPr="4919EC1B">
        <w:rPr>
          <w:rFonts w:ascii="Aptos" w:eastAsia="Aptos" w:hAnsi="Aptos" w:cs="Aptos"/>
        </w:rPr>
        <w:t xml:space="preserve"> tiheneb ning tarastatud maantee takistab loomade vaba liikumist. Hulk erinevaid loomapääse tagavad siiski loomastiku liikumisvõimalused ning populatsioonide sidususe. Positiivseks mõjuks on loomade (peamiselt imetajad ja kahepaiksed) maanteel hukkumise oluline vähenemine. Seega on kokkuvõttes maantee kasutusaegne mõju loomastikule neutraalne.</w:t>
      </w:r>
    </w:p>
    <w:p w14:paraId="092363FE" w14:textId="30E74A6C" w:rsidR="006C4930" w:rsidRPr="00BB6E57" w:rsidRDefault="14709ABF" w:rsidP="4919EC1B">
      <w:pPr>
        <w:jc w:val="both"/>
        <w:rPr>
          <w:rFonts w:ascii="Aptos" w:eastAsia="Aptos" w:hAnsi="Aptos" w:cs="Aptos"/>
        </w:rPr>
      </w:pPr>
      <w:r w:rsidRPr="4919EC1B">
        <w:rPr>
          <w:rFonts w:ascii="Aptos" w:eastAsia="Aptos" w:hAnsi="Aptos" w:cs="Aptos"/>
        </w:rPr>
        <w:t xml:space="preserve">Et vältida ohtu inimese tervisele, tuleb müra vähendada kõikides kohtades, kus esineb </w:t>
      </w:r>
      <w:r w:rsidR="1E9593E0" w:rsidRPr="4919EC1B">
        <w:rPr>
          <w:rFonts w:ascii="Aptos" w:eastAsia="Aptos" w:hAnsi="Aptos" w:cs="Aptos"/>
        </w:rPr>
        <w:t>atmosfääriõhu kaitse seaduse</w:t>
      </w:r>
      <w:r w:rsidRPr="4919EC1B">
        <w:rPr>
          <w:rFonts w:ascii="Aptos" w:eastAsia="Aptos" w:hAnsi="Aptos" w:cs="Aptos"/>
        </w:rPr>
        <w:t xml:space="preserve"> kohase müra piirnormi ületamine.</w:t>
      </w:r>
    </w:p>
    <w:p w14:paraId="6C56B16A" w14:textId="06E1E86A" w:rsidR="006C4930" w:rsidRPr="00BB6E57" w:rsidRDefault="038C181D" w:rsidP="4919EC1B">
      <w:pPr>
        <w:jc w:val="both"/>
      </w:pPr>
      <w:r>
        <w:t>Projekteeritava maanteelõigu kasutamine toob kaasa olulise positiivse mõju kahes valdkonnas: inimeste liikumisvõimaluste muutus ja õnnetuste tekke võimalus (liiklusohutuse taseme tõus). Kuigi 2+2 maantee rajamisega maakasutuse ja maastikuilme muutus, metsamaade raadamine ja väärtuslike põllumajandusmaade kadu piirkonnas on lokaalselt olulise ning pöördumatu mõjuga, siis suuremas pildis ei ole tegemist mõjuga, mille tõttu tuleks kaaluda kavandatava tegevuse ära jätmist arvestades liikluskoormuse kasvu ning teelõigu ohtlikkust täna.</w:t>
      </w:r>
    </w:p>
    <w:p w14:paraId="2480D31F" w14:textId="67F1A46E" w:rsidR="006C4930" w:rsidRPr="00BB6E57" w:rsidRDefault="7637C27A" w:rsidP="4919EC1B">
      <w:pPr>
        <w:jc w:val="both"/>
        <w:rPr>
          <w:rFonts w:ascii="Aptos" w:eastAsia="Aptos" w:hAnsi="Aptos" w:cs="Aptos"/>
        </w:rPr>
      </w:pPr>
      <w:r w:rsidRPr="4919EC1B">
        <w:rPr>
          <w:rFonts w:ascii="Aptos" w:eastAsia="Aptos" w:hAnsi="Aptos" w:cs="Aptos"/>
        </w:rPr>
        <w:t xml:space="preserve">Ainsaks potentsiaalselt mõjutatavaks kaitstavaks alaks on Pärnu jõe hoiuala, mis kuulub ühtlasi ka Natura 2000 võrgustikku Pärnu jõe loodusalana ning kuulub projekteeritavas lõigus lõhe, jõeforelli, meriforelli ja harjuse kudemis- ja elupaikade nimistusse. Seega on oluline, et kavandatav tegevus ei mõjutaks jõe veekvaliteeti. Kuna Pärnu jõe hoiuala paikneb õgvendatavast Esna jõest allavoolu, siis kohalduvad sellele veekeskkonna kaitseks suunatud meetmed (vt KMH </w:t>
      </w:r>
      <w:proofErr w:type="spellStart"/>
      <w:r w:rsidRPr="4919EC1B">
        <w:rPr>
          <w:rFonts w:ascii="Aptos" w:eastAsia="Aptos" w:hAnsi="Aptos" w:cs="Aptos"/>
        </w:rPr>
        <w:t>ptk</w:t>
      </w:r>
      <w:proofErr w:type="spellEnd"/>
      <w:r w:rsidRPr="4919EC1B">
        <w:rPr>
          <w:rFonts w:ascii="Aptos" w:eastAsia="Aptos" w:hAnsi="Aptos" w:cs="Aptos"/>
        </w:rPr>
        <w:t xml:space="preserve"> 8.2).</w:t>
      </w:r>
    </w:p>
    <w:p w14:paraId="23F6C5B7" w14:textId="70092D09" w:rsidR="006C4930" w:rsidRPr="00BB6E57" w:rsidRDefault="62FC2677" w:rsidP="4919EC1B">
      <w:pPr>
        <w:jc w:val="both"/>
        <w:rPr>
          <w:rFonts w:ascii="Aptos" w:eastAsia="Aptos" w:hAnsi="Aptos" w:cs="Aptos"/>
        </w:rPr>
      </w:pPr>
      <w:r w:rsidRPr="4919EC1B">
        <w:rPr>
          <w:rFonts w:ascii="Aptos" w:eastAsia="Aptos" w:hAnsi="Aptos" w:cs="Aptos"/>
        </w:rPr>
        <w:t>Müratõkete asukohas on soovitav kaaluda müratõkke ja haljastuse kombinatsioone (nt vertikaalhaljastus, müratõkke ja tõkkest kõrgemate puude kombinatsioonid).</w:t>
      </w:r>
    </w:p>
    <w:p w14:paraId="5DAEC085" w14:textId="244B4A22" w:rsidR="006C4930" w:rsidRPr="00BB6E57" w:rsidRDefault="62FC2677" w:rsidP="4919EC1B">
      <w:pPr>
        <w:jc w:val="both"/>
        <w:rPr>
          <w:rFonts w:ascii="Aptos" w:eastAsia="Aptos" w:hAnsi="Aptos" w:cs="Aptos"/>
        </w:rPr>
      </w:pPr>
      <w:r w:rsidRPr="4919EC1B">
        <w:rPr>
          <w:rFonts w:ascii="Aptos" w:eastAsia="Aptos" w:hAnsi="Aptos" w:cs="Aptos"/>
        </w:rPr>
        <w:t>Kõik tekkivad jäätmed tuleb koguda liigiti. Kogumisel tuleb vältida erinevate jäätmeliikide omavahelist segunemist.</w:t>
      </w:r>
    </w:p>
    <w:p w14:paraId="61FC3BFE" w14:textId="4292F5F3" w:rsidR="006C4930" w:rsidRPr="00BB6E57" w:rsidRDefault="5CFA93FE" w:rsidP="4919EC1B">
      <w:pPr>
        <w:jc w:val="both"/>
        <w:rPr>
          <w:rFonts w:ascii="Aptos" w:eastAsia="Aptos" w:hAnsi="Aptos" w:cs="Aptos"/>
        </w:rPr>
      </w:pPr>
      <w:r w:rsidRPr="4919EC1B">
        <w:rPr>
          <w:rFonts w:ascii="Aptos" w:eastAsia="Aptos" w:hAnsi="Aptos" w:cs="Aptos"/>
        </w:rPr>
        <w:t>Tolmavaid ehitusmaterjale ja jäätmed tuleb nende käsitlemisel (veol, laadimisel, teisaldamisel, ajutisel ladustamisel jms) vajadusel niisutada, et vältida/vähendada tolmu teket ja levikut.</w:t>
      </w:r>
    </w:p>
    <w:p w14:paraId="28D8EDFD" w14:textId="5821590B" w:rsidR="006C4930" w:rsidRPr="00BB6E57" w:rsidRDefault="5CFA93FE" w:rsidP="4919EC1B">
      <w:pPr>
        <w:jc w:val="both"/>
        <w:rPr>
          <w:rFonts w:ascii="Aptos" w:eastAsia="Aptos" w:hAnsi="Aptos" w:cs="Aptos"/>
        </w:rPr>
      </w:pPr>
      <w:r w:rsidRPr="4919EC1B">
        <w:rPr>
          <w:rFonts w:ascii="Aptos" w:eastAsia="Aptos" w:hAnsi="Aptos" w:cs="Aptos"/>
        </w:rPr>
        <w:t>Ehitustööde korraldamisel tuleb arvestada kehtivate müra normtasemetega ja korraldada tööd viisil, et on tagatud normtasemetest kinnipidamine.</w:t>
      </w:r>
    </w:p>
    <w:p w14:paraId="311F0E5A" w14:textId="5760314D" w:rsidR="006C4930" w:rsidRPr="00BB6E57" w:rsidRDefault="006C4930" w:rsidP="4919EC1B">
      <w:pPr>
        <w:jc w:val="both"/>
        <w:rPr>
          <w:rFonts w:ascii="Aptos" w:eastAsia="Aptos" w:hAnsi="Aptos" w:cs="Aptos"/>
        </w:rPr>
      </w:pPr>
    </w:p>
    <w:p w14:paraId="2D5DD07D" w14:textId="6552394C" w:rsidR="006C4930" w:rsidRPr="00BB6E57" w:rsidRDefault="7DA7942B" w:rsidP="4919EC1B">
      <w:pPr>
        <w:pStyle w:val="Pealkiri2"/>
        <w:spacing w:before="0" w:after="160"/>
        <w:jc w:val="both"/>
        <w:rPr>
          <w:rFonts w:eastAsia="Cambria"/>
          <w:shd w:val="clear" w:color="auto" w:fill="FFFFFF"/>
        </w:rPr>
      </w:pPr>
      <w:bookmarkStart w:id="21" w:name="_Toc1274701417"/>
      <w:bookmarkStart w:id="22" w:name="_Toc213770837"/>
      <w:r w:rsidRPr="4E229F5A">
        <w:rPr>
          <w:rFonts w:eastAsia="Cambria"/>
        </w:rPr>
        <w:t xml:space="preserve">3.3 </w:t>
      </w:r>
      <w:r w:rsidR="289457EC" w:rsidRPr="4E229F5A">
        <w:rPr>
          <w:rFonts w:eastAsia="Cambria"/>
        </w:rPr>
        <w:t>Sõjaväelinnak</w:t>
      </w:r>
      <w:bookmarkEnd w:id="22"/>
      <w:r w:rsidR="289457EC" w:rsidRPr="4E229F5A">
        <w:rPr>
          <w:rFonts w:eastAsia="Cambria"/>
        </w:rPr>
        <w:t xml:space="preserve"> </w:t>
      </w:r>
    </w:p>
    <w:bookmarkEnd w:id="21"/>
    <w:p w14:paraId="5FC443A1" w14:textId="459444F8" w:rsidR="53005EBA" w:rsidRPr="002A7730" w:rsidRDefault="75FC5B07" w:rsidP="69EACBE9">
      <w:pPr>
        <w:jc w:val="both"/>
        <w:rPr>
          <w:rFonts w:eastAsiaTheme="minorEastAsia"/>
        </w:rPr>
      </w:pPr>
      <w:r w:rsidRPr="69EACBE9">
        <w:rPr>
          <w:rFonts w:eastAsiaTheme="minorEastAsia"/>
        </w:rPr>
        <w:t xml:space="preserve">NATO liitlaste kohalolu suurendamiseks </w:t>
      </w:r>
      <w:r w:rsidR="0E1720F3" w:rsidRPr="69EACBE9">
        <w:rPr>
          <w:rFonts w:eastAsiaTheme="minorEastAsia"/>
        </w:rPr>
        <w:t xml:space="preserve">Euroopa Liidu idapiiril </w:t>
      </w:r>
      <w:r w:rsidRPr="69EACBE9">
        <w:rPr>
          <w:rFonts w:eastAsiaTheme="minorEastAsia"/>
        </w:rPr>
        <w:t>rajatakse  sõjaväelinnak, mis mahutab kuni 1000 sõjaväelast.</w:t>
      </w:r>
    </w:p>
    <w:p w14:paraId="26692035" w14:textId="16EE5CC3" w:rsidR="00FE7F78" w:rsidRDefault="098259F3" w:rsidP="48A82918">
      <w:pPr>
        <w:jc w:val="both"/>
        <w:rPr>
          <w:rFonts w:ascii="Aptos" w:eastAsia="Aptos" w:hAnsi="Aptos" w:cs="Aptos"/>
        </w:rPr>
      </w:pPr>
      <w:r w:rsidRPr="48A82918">
        <w:rPr>
          <w:rFonts w:ascii="Aptos" w:eastAsia="Aptos" w:hAnsi="Aptos" w:cs="Aptos"/>
        </w:rPr>
        <w:t>Kuna maa-ala, kuhu on kavandatud sõjaväelinnaku rajamine, ei ole veel riigile kaitseotstarbeks antud, ei ole</w:t>
      </w:r>
      <w:r w:rsidR="223E2AF2" w:rsidRPr="48A82918">
        <w:rPr>
          <w:rFonts w:ascii="Aptos" w:eastAsia="Aptos" w:hAnsi="Aptos" w:cs="Aptos"/>
        </w:rPr>
        <w:t xml:space="preserve"> veel läbi viidud</w:t>
      </w:r>
      <w:r w:rsidRPr="48A82918">
        <w:rPr>
          <w:rFonts w:ascii="Aptos" w:eastAsia="Aptos" w:hAnsi="Aptos" w:cs="Aptos"/>
        </w:rPr>
        <w:t xml:space="preserve"> keskkonnamõjude hindamist. Planeeritav ala asub olemasolevas tööstuspiirkonnas, mistõttu mõju elusloodusele on linnaku rajamisel ja kasutamisel vähene. </w:t>
      </w:r>
      <w:r w:rsidR="0983493A" w:rsidRPr="48A82918">
        <w:rPr>
          <w:rFonts w:ascii="Aptos" w:eastAsia="Aptos" w:hAnsi="Aptos" w:cs="Aptos"/>
        </w:rPr>
        <w:t>Oluliste negatiivsete keskkonnamõjude (sh müra, vibratsioon ning muud) väljaselgitamine ning mõjude leevendamine peab toimuma edasistes keskkonnamõju hindamise/keskkonnamõju strateegilise hindamise menetlustes.</w:t>
      </w:r>
    </w:p>
    <w:p w14:paraId="2B1C53BE" w14:textId="2EFB4528" w:rsidR="0A8EAB13" w:rsidRPr="002A7730" w:rsidRDefault="0983493A" w:rsidP="48A82918">
      <w:pPr>
        <w:jc w:val="both"/>
        <w:rPr>
          <w:rFonts w:eastAsiaTheme="minorEastAsia"/>
        </w:rPr>
      </w:pPr>
      <w:r w:rsidRPr="48A82918">
        <w:rPr>
          <w:rFonts w:ascii="Aptos" w:eastAsia="Aptos" w:hAnsi="Aptos" w:cs="Aptos"/>
        </w:rPr>
        <w:t xml:space="preserve"> </w:t>
      </w:r>
    </w:p>
    <w:p w14:paraId="41E2743E" w14:textId="672AEFFF" w:rsidR="009364BC" w:rsidRPr="009364BC" w:rsidRDefault="7DA7942B" w:rsidP="00F80A5B">
      <w:pPr>
        <w:pStyle w:val="Pealkiri2"/>
        <w:rPr>
          <w:rFonts w:cs="Times New Roman"/>
          <w:sz w:val="24"/>
          <w:szCs w:val="24"/>
          <w:shd w:val="clear" w:color="auto" w:fill="FFFFFF"/>
        </w:rPr>
      </w:pPr>
      <w:bookmarkStart w:id="23" w:name="_Toc955728747"/>
      <w:bookmarkStart w:id="24" w:name="_Toc213770838"/>
      <w:r>
        <w:rPr>
          <w:shd w:val="clear" w:color="auto" w:fill="FFFFFF"/>
        </w:rPr>
        <w:t xml:space="preserve">3.4 </w:t>
      </w:r>
      <w:r w:rsidR="59C050D0">
        <w:rPr>
          <w:shd w:val="clear" w:color="auto" w:fill="FFFFFF"/>
        </w:rPr>
        <w:t>Kaitseettevõtte tootearendusprogramm</w:t>
      </w:r>
      <w:bookmarkEnd w:id="23"/>
      <w:bookmarkEnd w:id="24"/>
      <w:r w:rsidR="361B5FBA" w:rsidRPr="005D7C58">
        <w:rPr>
          <w:rFonts w:eastAsia="Cambria" w:cs="Cambria"/>
          <w:color w:val="242424"/>
          <w:sz w:val="20"/>
          <w:szCs w:val="20"/>
        </w:rPr>
        <w:t xml:space="preserve"> </w:t>
      </w:r>
    </w:p>
    <w:p w14:paraId="0B80CD44" w14:textId="31D5AF0B" w:rsidR="00BB6E57" w:rsidRPr="00BB6E57" w:rsidRDefault="00BB6E57" w:rsidP="2999F8CB"/>
    <w:p w14:paraId="389CCBE6" w14:textId="041A3EB6" w:rsidR="00BB6E57" w:rsidRPr="00BB6E57" w:rsidRDefault="697108CF" w:rsidP="2999F8CB">
      <w:pPr>
        <w:jc w:val="both"/>
      </w:pPr>
      <w:r>
        <w:t xml:space="preserve">Kaitsetööstuse tootearenduse toetuse eesmärk on aidata kaitsetööstuse ettevõtetel luua uusi kaitse ja kahesuguse otstarbega lahendusi. </w:t>
      </w:r>
    </w:p>
    <w:p w14:paraId="01E77726" w14:textId="229FB840" w:rsidR="00BB6E57" w:rsidRPr="00BB6E57" w:rsidRDefault="794F241F" w:rsidP="2999F8CB">
      <w:pPr>
        <w:spacing w:before="210" w:after="210"/>
        <w:jc w:val="both"/>
        <w:rPr>
          <w:rFonts w:eastAsiaTheme="minorEastAsia"/>
        </w:rPr>
      </w:pPr>
      <w:r>
        <w:t xml:space="preserve">Planeeritud tegevustel puudub otsene negatiivne </w:t>
      </w:r>
      <w:r w:rsidR="16F4C945">
        <w:t>keskkonna</w:t>
      </w:r>
      <w:r w:rsidR="3AAB3741">
        <w:t>mõju.</w:t>
      </w:r>
      <w:r w:rsidR="0658ED6B">
        <w:t xml:space="preserve"> </w:t>
      </w:r>
      <w:r w:rsidR="0658ED6B" w:rsidRPr="236146E9">
        <w:rPr>
          <w:rFonts w:ascii="Aptos" w:eastAsia="Aptos" w:hAnsi="Aptos" w:cs="Arial"/>
        </w:rPr>
        <w:t>Kavandatav tegevus ei hõlma otseselt füüsilisi ehitustöid, infrastruktuuri rajamist ega loodusressursside kasutust.</w:t>
      </w:r>
      <w:r>
        <w:t xml:space="preserve"> </w:t>
      </w:r>
      <w:r w:rsidR="4072DDB3">
        <w:t>Meetme raames ei anta investeeringutoetust.</w:t>
      </w:r>
      <w:r w:rsidR="275F9031">
        <w:t xml:space="preserve"> </w:t>
      </w:r>
      <w:r w:rsidR="47DBE2AE" w:rsidRPr="2999F8CB">
        <w:rPr>
          <w:rFonts w:eastAsiaTheme="minorEastAsia"/>
        </w:rPr>
        <w:t>Kaitsevaldkonna teadus- ja arendustegevusel ja sellega seotud projektidel ei ole otsest mõju kliima- ja keskkonnaeesmärkide saavutamisel. Üldjuhul on uued teadus- ja arendustegevuse käigus loodud tooted ja tehnoloogiad</w:t>
      </w:r>
      <w:r w:rsidR="00F619C8">
        <w:rPr>
          <w:rFonts w:eastAsiaTheme="minorEastAsia"/>
        </w:rPr>
        <w:t xml:space="preserve"> </w:t>
      </w:r>
      <w:r w:rsidR="47DBE2AE" w:rsidRPr="2999F8CB">
        <w:rPr>
          <w:rFonts w:eastAsiaTheme="minorEastAsia"/>
        </w:rPr>
        <w:t xml:space="preserve">ressursisäästlikumad ja keskkonnasõbralikumad, põhjustavad vähem kasvuhoonegaaside heidet ja jäätmeid ning kasutavad tootmisel tekkivaid jäätmeid, selleks et nad oleks maailmaturul konkurentsivõimelised. Kaitsetööstuse puhul tuleb siiski arvestada, et tulenevalt valdkonna eripäradest on põhiliseks kliendiks riigid (nende julgeoleku- ja kaitsestruktuurid),  kelle esmaseks ülesandeks on tagada riigi julgeoleku ja kaitse eesmärgid. Samas enamik NATO riike (kes on Eesti kaitsetööstuse peamisteks klientideks) on ka seadnud endale kliima- ja keskkonnaeesmärke, mistõttu riigihangetes tuleb lähtuda ka vastavatest kriteeriumitest. Lisaks tuleb arvestada, et kaitsetööstuse ettevõtted loovad kahese kasutusega tooteid ja tehnoloogiad, mille kliendibaas on palju laiem ning kliima- ja keskkonnateadlikum.   </w:t>
      </w:r>
    </w:p>
    <w:p w14:paraId="02E80C47" w14:textId="315F1E02" w:rsidR="00BB6E57" w:rsidRPr="00BB6E57" w:rsidRDefault="7B0570A8" w:rsidP="00F80A5B">
      <w:pPr>
        <w:pStyle w:val="Pealkiri2"/>
        <w:rPr>
          <w:rFonts w:cs="Times New Roman"/>
          <w:color w:val="000000" w:themeColor="text1"/>
          <w:sz w:val="24"/>
          <w:szCs w:val="24"/>
        </w:rPr>
      </w:pPr>
      <w:r>
        <w:t xml:space="preserve">  </w:t>
      </w:r>
      <w:bookmarkStart w:id="25" w:name="_Toc869055008"/>
      <w:bookmarkStart w:id="26" w:name="_Toc213770839"/>
      <w:r w:rsidR="7DA7942B">
        <w:t xml:space="preserve">3.5 </w:t>
      </w:r>
      <w:r w:rsidR="361B5FBA">
        <w:t>Kaitsetehnoloogia testimisvõimekuse loomine ja riigikaitset toetava tehisaru võimekuse arendamine</w:t>
      </w:r>
      <w:bookmarkEnd w:id="25"/>
      <w:bookmarkEnd w:id="26"/>
    </w:p>
    <w:p w14:paraId="5E4D6CE1" w14:textId="6362CF1C" w:rsidR="520DA96F" w:rsidRPr="00AE34E9" w:rsidRDefault="7D7C9655" w:rsidP="7D3E1EBB">
      <w:pPr>
        <w:pStyle w:val="Normaallaadveeb"/>
        <w:jc w:val="both"/>
        <w:rPr>
          <w:rFonts w:asciiTheme="minorHAnsi" w:eastAsiaTheme="minorEastAsia" w:hAnsiTheme="minorHAnsi" w:cstheme="minorBidi"/>
        </w:rPr>
      </w:pPr>
      <w:r w:rsidRPr="27B3A8D1">
        <w:rPr>
          <w:rFonts w:asciiTheme="minorHAnsi" w:eastAsiaTheme="minorEastAsia" w:hAnsiTheme="minorHAnsi" w:cstheme="minorBidi"/>
        </w:rPr>
        <w:t xml:space="preserve">Kaitsetehnoloogia testimisvõimekuse toetuse eesmärk on arendada välja teadus- ja testimistaristu, mis võimaldab toetada Eesti kaitse-, julgeoleku- ja kahesuguse </w:t>
      </w:r>
      <w:r w:rsidRPr="27B3A8D1">
        <w:rPr>
          <w:rFonts w:asciiTheme="minorHAnsi" w:eastAsiaTheme="minorEastAsia" w:hAnsiTheme="minorHAnsi" w:cstheme="minorBidi"/>
        </w:rPr>
        <w:lastRenderedPageBreak/>
        <w:t>kasutusega (</w:t>
      </w:r>
      <w:proofErr w:type="spellStart"/>
      <w:r w:rsidRPr="27B3A8D1">
        <w:rPr>
          <w:rFonts w:asciiTheme="minorHAnsi" w:eastAsiaTheme="minorEastAsia" w:hAnsiTheme="minorHAnsi" w:cstheme="minorBidi"/>
          <w:i/>
          <w:iCs/>
        </w:rPr>
        <w:t>dual-use</w:t>
      </w:r>
      <w:proofErr w:type="spellEnd"/>
      <w:r w:rsidRPr="27B3A8D1">
        <w:rPr>
          <w:rFonts w:asciiTheme="minorHAnsi" w:eastAsiaTheme="minorEastAsia" w:hAnsiTheme="minorHAnsi" w:cstheme="minorBidi"/>
        </w:rPr>
        <w:t>) tehnoloogiate arendust ning katsetamist.</w:t>
      </w:r>
      <w:r w:rsidR="51669E9A" w:rsidRPr="27B3A8D1">
        <w:rPr>
          <w:rFonts w:asciiTheme="minorHAnsi" w:eastAsiaTheme="minorEastAsia" w:hAnsiTheme="minorHAnsi" w:cstheme="minorBidi"/>
        </w:rPr>
        <w:t xml:space="preserve"> </w:t>
      </w:r>
      <w:r w:rsidRPr="27B3A8D1">
        <w:rPr>
          <w:rFonts w:asciiTheme="minorHAnsi" w:eastAsiaTheme="minorEastAsia" w:hAnsiTheme="minorHAnsi" w:cstheme="minorBidi"/>
        </w:rPr>
        <w:t>Riigikaitset t</w:t>
      </w:r>
      <w:r w:rsidR="0569D0E2" w:rsidRPr="27B3A8D1">
        <w:rPr>
          <w:rFonts w:asciiTheme="minorHAnsi" w:eastAsiaTheme="minorEastAsia" w:hAnsiTheme="minorHAnsi" w:cstheme="minorBidi"/>
        </w:rPr>
        <w:t>oetava tehisaru võimekuse toetuse raames arendatakse välja andmelao taristu, mis võimaldab tehisintellekti põhiste tehnoloogiate ja eksperimentide elluviimist riigikaitse kontekstis. Luuakse tehisaru treenimiseks vajaminev andmekogude taristu ja tehisaru genereerimise võimekus.</w:t>
      </w:r>
      <w:r w:rsidR="78E089A1" w:rsidRPr="27B3A8D1">
        <w:rPr>
          <w:rFonts w:asciiTheme="minorHAnsi" w:eastAsiaTheme="minorEastAsia" w:hAnsiTheme="minorHAnsi" w:cstheme="minorBidi"/>
        </w:rPr>
        <w:t xml:space="preserve"> Kõik eelnev toetab innovatsiooni ja uute lahenduste väljatöötamist.</w:t>
      </w:r>
    </w:p>
    <w:p w14:paraId="2CD7E2C8" w14:textId="2CFF7DC2" w:rsidR="78E089A1" w:rsidRDefault="78E089A1" w:rsidP="16D3BF2B">
      <w:pPr>
        <w:pStyle w:val="Normaallaadveeb"/>
        <w:jc w:val="both"/>
        <w:rPr>
          <w:rFonts w:asciiTheme="minorHAnsi" w:eastAsiaTheme="minorEastAsia" w:hAnsiTheme="minorHAnsi" w:cstheme="minorBidi"/>
        </w:rPr>
      </w:pPr>
      <w:r w:rsidRPr="16D3BF2B">
        <w:rPr>
          <w:rFonts w:asciiTheme="minorHAnsi" w:eastAsiaTheme="minorEastAsia" w:hAnsiTheme="minorHAnsi" w:cstheme="minorBidi"/>
        </w:rPr>
        <w:t xml:space="preserve">Planeeritavate testimisvõimekuste ja tehisaru treenimiseks vajalike laborite otsene </w:t>
      </w:r>
      <w:r w:rsidR="5FD33337" w:rsidRPr="2C30B513">
        <w:rPr>
          <w:rFonts w:asciiTheme="minorHAnsi" w:eastAsiaTheme="minorEastAsia" w:hAnsiTheme="minorHAnsi" w:cstheme="minorBidi"/>
        </w:rPr>
        <w:t xml:space="preserve">negatiivne </w:t>
      </w:r>
      <w:r w:rsidRPr="16D3BF2B">
        <w:rPr>
          <w:rFonts w:asciiTheme="minorHAnsi" w:eastAsiaTheme="minorEastAsia" w:hAnsiTheme="minorHAnsi" w:cstheme="minorBidi"/>
        </w:rPr>
        <w:t xml:space="preserve">keskkonnamõju on üldjuhul väike ning </w:t>
      </w:r>
      <w:r w:rsidR="0190AA8B" w:rsidRPr="16D3BF2B">
        <w:rPr>
          <w:rFonts w:asciiTheme="minorHAnsi" w:eastAsiaTheme="minorEastAsia" w:hAnsiTheme="minorHAnsi" w:cstheme="minorBidi"/>
        </w:rPr>
        <w:t>t</w:t>
      </w:r>
      <w:r w:rsidRPr="16D3BF2B">
        <w:rPr>
          <w:rFonts w:asciiTheme="minorHAnsi" w:eastAsiaTheme="minorEastAsia" w:hAnsiTheme="minorHAnsi" w:cstheme="minorBidi"/>
        </w:rPr>
        <w:t>eadus- ja arendustegevuse eesmärk on sageli ressursisäästlikkuse ja keskkonnasõbralikkuse suurendamine, mistõttu võib nende tegevuste tulemusel tekkida kaudne positiivne mõju – näiteks uued tehnoloogiad, mis vähendavad heitmeid või jäätmeid.</w:t>
      </w:r>
    </w:p>
    <w:p w14:paraId="79A74697" w14:textId="15E2CC22" w:rsidR="363313F7" w:rsidRDefault="363313F7" w:rsidP="7D3E1EBB">
      <w:pPr>
        <w:pStyle w:val="Normaallaadveeb"/>
        <w:jc w:val="both"/>
        <w:rPr>
          <w:rFonts w:asciiTheme="minorHAnsi" w:eastAsiaTheme="minorEastAsia" w:hAnsiTheme="minorHAnsi" w:cstheme="minorBidi"/>
        </w:rPr>
      </w:pPr>
      <w:r w:rsidRPr="7D3E1EBB">
        <w:rPr>
          <w:rFonts w:asciiTheme="minorHAnsi" w:eastAsiaTheme="minorEastAsia" w:hAnsiTheme="minorHAnsi" w:cstheme="minorBidi"/>
        </w:rPr>
        <w:t xml:space="preserve">Tehisarude kasutamine ja laborite loomine ei põhjusta olulist </w:t>
      </w:r>
      <w:r w:rsidR="5588A2C6" w:rsidRPr="2C30B513">
        <w:rPr>
          <w:rFonts w:asciiTheme="minorHAnsi" w:eastAsiaTheme="minorEastAsia" w:hAnsiTheme="minorHAnsi" w:cstheme="minorBidi"/>
        </w:rPr>
        <w:t xml:space="preserve">negatiivset </w:t>
      </w:r>
      <w:r w:rsidR="06185E6E" w:rsidRPr="2C30B513">
        <w:rPr>
          <w:rFonts w:asciiTheme="minorHAnsi" w:eastAsiaTheme="minorEastAsia" w:hAnsiTheme="minorHAnsi" w:cstheme="minorBidi"/>
        </w:rPr>
        <w:t>keskkonnamõju</w:t>
      </w:r>
      <w:r w:rsidRPr="7D3E1EBB">
        <w:rPr>
          <w:rFonts w:asciiTheme="minorHAnsi" w:eastAsiaTheme="minorEastAsia" w:hAnsiTheme="minorHAnsi" w:cstheme="minorBidi"/>
        </w:rPr>
        <w:t>, kuna tehisintellekti arendamine ja katsetamine ei ole seotud füüsilise tootmisega, mis võiks põhjustada saastet, jäätmeid või loodusressursside liigset kasutamist. Andmelao ja tehisaru taristu loomine on suunatud digitaalsete lahenduste arendamisele, millel puudub otsene negatiivne mõju loodus- ja elukeskkonnale. Lisaks võivad tehisaru rakendused aidata optimeerida ressursikasutust, vähendada energiakulu ja toetada keskkonnasõbralikke lahendusi ka teistes sektorites.</w:t>
      </w:r>
    </w:p>
    <w:p w14:paraId="1F58A361" w14:textId="0BBA637B" w:rsidR="6542B039" w:rsidRDefault="6542B039" w:rsidP="4919EC1B">
      <w:pPr>
        <w:pStyle w:val="Normaallaadveeb"/>
        <w:jc w:val="both"/>
        <w:rPr>
          <w:rFonts w:asciiTheme="minorHAnsi" w:eastAsiaTheme="minorEastAsia" w:hAnsiTheme="minorHAnsi" w:cstheme="minorBidi"/>
        </w:rPr>
      </w:pPr>
      <w:r w:rsidRPr="4919EC1B">
        <w:rPr>
          <w:rFonts w:asciiTheme="minorHAnsi" w:eastAsiaTheme="minorEastAsia" w:hAnsiTheme="minorHAnsi" w:cstheme="minorBidi"/>
        </w:rPr>
        <w:t xml:space="preserve">Oluline on rõhutada, et laborite ja testimistaristu rajamine ning kasutamine toob kaasa väga väikese keskkonnajalajälje. Laborid rajatakse valdavalt olemasolevatesse hoonetesse või väikese mahuga ehitistesse, mistõttu ei kaasne olulisi muutusi maastikus ega loodusressursside kasutuses. Lisaks luuakse ka mobiilsed laborid, mida saab vajadusel liigutada erinevatesse asukohtadesse vastavalt projektide vajadustele. Mobiilsete laborite paindlikkus võimaldab minimeerida püsivaid </w:t>
      </w:r>
      <w:r w:rsidR="5E615A65" w:rsidRPr="2C30B513">
        <w:rPr>
          <w:rFonts w:asciiTheme="minorHAnsi" w:eastAsiaTheme="minorEastAsia" w:hAnsiTheme="minorHAnsi" w:cstheme="minorBidi"/>
        </w:rPr>
        <w:t>negatiivseid</w:t>
      </w:r>
      <w:r w:rsidR="580A972E" w:rsidRPr="2C30B513">
        <w:rPr>
          <w:rFonts w:asciiTheme="minorHAnsi" w:eastAsiaTheme="minorEastAsia" w:hAnsiTheme="minorHAnsi" w:cstheme="minorBidi"/>
        </w:rPr>
        <w:t xml:space="preserve"> </w:t>
      </w:r>
      <w:r w:rsidRPr="4919EC1B">
        <w:rPr>
          <w:rFonts w:asciiTheme="minorHAnsi" w:eastAsiaTheme="minorEastAsia" w:hAnsiTheme="minorHAnsi" w:cstheme="minorBidi"/>
        </w:rPr>
        <w:t>keskkonnamõjusid, kuna laborid ei jää alaliselt ühte kohta ning nende kasutus on ajutine ja sihipärane. Laborite igapäevane tegevus ei eelda suurt energiatarbimist ega ressursikasutust ning nende mõju keskkonnale on minimaalne võrreldes traditsioonilise tootmise või tööstusliku arendustegevusega.</w:t>
      </w:r>
    </w:p>
    <w:p w14:paraId="12A41FBB" w14:textId="66BE24B2" w:rsidR="4919EC1B" w:rsidRDefault="4919EC1B" w:rsidP="4919EC1B">
      <w:pPr>
        <w:pStyle w:val="Normaallaadveeb"/>
        <w:jc w:val="both"/>
        <w:rPr>
          <w:rFonts w:asciiTheme="minorHAnsi" w:eastAsiaTheme="minorEastAsia" w:hAnsiTheme="minorHAnsi" w:cstheme="minorBidi"/>
        </w:rPr>
      </w:pPr>
    </w:p>
    <w:p w14:paraId="4DE497E2" w14:textId="15800E3B" w:rsidR="00551C73" w:rsidRPr="00BC4C6D" w:rsidRDefault="0B7516BC" w:rsidP="4919EC1B">
      <w:pPr>
        <w:pStyle w:val="Pealkiri1"/>
        <w:jc w:val="both"/>
        <w:rPr>
          <w:rStyle w:val="eop"/>
        </w:rPr>
      </w:pPr>
      <w:bookmarkStart w:id="27" w:name="_Toc501600847"/>
      <w:bookmarkStart w:id="28" w:name="_Toc213770840"/>
      <w:r w:rsidRPr="4919EC1B">
        <w:rPr>
          <w:rStyle w:val="eop"/>
        </w:rPr>
        <w:t>Asjaomaste asutuste seisukohad</w:t>
      </w:r>
      <w:bookmarkEnd w:id="27"/>
      <w:bookmarkEnd w:id="28"/>
    </w:p>
    <w:p w14:paraId="67E34C02" w14:textId="530F6B50" w:rsidR="00551C73" w:rsidRDefault="00551C73" w:rsidP="35BD0857">
      <w:pPr>
        <w:pStyle w:val="Normaallaadveeb"/>
        <w:jc w:val="both"/>
        <w:rPr>
          <w:rStyle w:val="eop"/>
          <w:rFonts w:asciiTheme="minorHAnsi" w:eastAsiaTheme="majorEastAsia" w:hAnsiTheme="minorHAnsi"/>
          <w:color w:val="0070C0"/>
        </w:rPr>
      </w:pPr>
      <w:r>
        <w:rPr>
          <w:rStyle w:val="eop"/>
          <w:rFonts w:asciiTheme="minorHAnsi" w:eastAsiaTheme="majorEastAsia" w:hAnsiTheme="minorHAnsi"/>
          <w:color w:val="0070C0"/>
        </w:rPr>
        <w:t>Täiendamisel seisukohtade alusel</w:t>
      </w:r>
    </w:p>
    <w:p w14:paraId="1346973F" w14:textId="60C450C9" w:rsidR="00551C73" w:rsidRPr="00BC4C6D" w:rsidRDefault="0B7516BC" w:rsidP="00BC4C6D">
      <w:pPr>
        <w:pStyle w:val="Pealkiri1"/>
        <w:rPr>
          <w:rStyle w:val="eop"/>
        </w:rPr>
      </w:pPr>
      <w:bookmarkStart w:id="29" w:name="_Toc136990005"/>
      <w:bookmarkStart w:id="30" w:name="_Toc213770841"/>
      <w:r w:rsidRPr="4919EC1B">
        <w:rPr>
          <w:rStyle w:val="eop"/>
        </w:rPr>
        <w:t>Kokkuvõte</w:t>
      </w:r>
      <w:bookmarkEnd w:id="29"/>
      <w:bookmarkEnd w:id="30"/>
    </w:p>
    <w:p w14:paraId="42E490F1" w14:textId="41231503" w:rsidR="002E1303" w:rsidRDefault="002A1B22" w:rsidP="4919EC1B">
      <w:pPr>
        <w:pStyle w:val="Normaallaadveeb"/>
        <w:jc w:val="both"/>
        <w:rPr>
          <w:rStyle w:val="eop"/>
          <w:rFonts w:asciiTheme="minorHAnsi" w:eastAsiaTheme="majorEastAsia" w:hAnsiTheme="minorHAnsi"/>
          <w:color w:val="000000"/>
          <w:shd w:val="clear" w:color="auto" w:fill="FFFFFF"/>
        </w:rPr>
      </w:pPr>
      <w:r w:rsidRPr="4919EC1B">
        <w:rPr>
          <w:rStyle w:val="eop"/>
          <w:rFonts w:asciiTheme="minorHAnsi" w:eastAsiaTheme="majorEastAsia" w:hAnsiTheme="minorHAnsi"/>
          <w:color w:val="000000"/>
          <w:shd w:val="clear" w:color="auto" w:fill="FFFFFF"/>
        </w:rPr>
        <w:t xml:space="preserve">Ühtekuuluvuspoliitika fondide rakenduskava perioodiks </w:t>
      </w:r>
      <w:r w:rsidR="0037146F" w:rsidRPr="4919EC1B">
        <w:rPr>
          <w:rStyle w:val="eop"/>
          <w:rFonts w:asciiTheme="minorHAnsi" w:eastAsiaTheme="majorEastAsia" w:hAnsiTheme="minorHAnsi"/>
          <w:color w:val="000000"/>
          <w:shd w:val="clear" w:color="auto" w:fill="FFFFFF"/>
        </w:rPr>
        <w:t>2021</w:t>
      </w:r>
      <w:r w:rsidR="0037146F" w:rsidRPr="4919EC1B">
        <w:rPr>
          <w:rFonts w:asciiTheme="minorHAnsi" w:hAnsiTheme="minorHAnsi"/>
        </w:rPr>
        <w:t>–</w:t>
      </w:r>
      <w:r w:rsidR="0037146F" w:rsidRPr="4919EC1B">
        <w:rPr>
          <w:rStyle w:val="eop"/>
          <w:rFonts w:asciiTheme="minorHAnsi" w:eastAsiaTheme="majorEastAsia" w:hAnsiTheme="minorHAnsi"/>
          <w:color w:val="000000"/>
          <w:shd w:val="clear" w:color="auto" w:fill="FFFFFF"/>
        </w:rPr>
        <w:t>2027</w:t>
      </w:r>
      <w:r w:rsidR="000C199B" w:rsidRPr="4919EC1B">
        <w:rPr>
          <w:rStyle w:val="eop"/>
          <w:rFonts w:asciiTheme="minorHAnsi" w:eastAsiaTheme="majorEastAsia" w:hAnsiTheme="minorHAnsi"/>
          <w:color w:val="000000"/>
          <w:shd w:val="clear" w:color="auto" w:fill="FFFFFF"/>
        </w:rPr>
        <w:t xml:space="preserve"> </w:t>
      </w:r>
      <w:r w:rsidR="00835910" w:rsidRPr="4919EC1B">
        <w:rPr>
          <w:rStyle w:val="eop"/>
          <w:rFonts w:asciiTheme="minorHAnsi" w:eastAsiaTheme="majorEastAsia" w:hAnsiTheme="minorHAnsi"/>
          <w:color w:val="000000"/>
          <w:shd w:val="clear" w:color="auto" w:fill="FFFFFF"/>
        </w:rPr>
        <w:t>neljanda muudatusega lisanduvate</w:t>
      </w:r>
      <w:r w:rsidR="005D3556">
        <w:rPr>
          <w:rStyle w:val="eop"/>
          <w:rFonts w:asciiTheme="minorHAnsi" w:eastAsiaTheme="majorEastAsia" w:hAnsiTheme="minorHAnsi"/>
          <w:color w:val="000000"/>
          <w:shd w:val="clear" w:color="auto" w:fill="FFFFFF"/>
        </w:rPr>
        <w:t>le</w:t>
      </w:r>
      <w:r w:rsidR="001D3F50">
        <w:rPr>
          <w:rStyle w:val="eop"/>
          <w:rFonts w:asciiTheme="minorHAnsi" w:eastAsiaTheme="majorEastAsia" w:hAnsiTheme="minorHAnsi"/>
          <w:color w:val="000000"/>
          <w:shd w:val="clear" w:color="auto" w:fill="FFFFFF"/>
        </w:rPr>
        <w:t xml:space="preserve"> punktis 3.1</w:t>
      </w:r>
      <w:r w:rsidR="002E1303">
        <w:rPr>
          <w:rStyle w:val="eop"/>
          <w:rFonts w:asciiTheme="minorHAnsi" w:eastAsiaTheme="majorEastAsia" w:hAnsiTheme="minorHAnsi"/>
          <w:color w:val="000000"/>
          <w:shd w:val="clear" w:color="auto" w:fill="FFFFFF"/>
        </w:rPr>
        <w:t xml:space="preserve"> välja toodud </w:t>
      </w:r>
      <w:r w:rsidR="002E1303" w:rsidRPr="4919EC1B">
        <w:rPr>
          <w:rStyle w:val="eop"/>
          <w:rFonts w:asciiTheme="minorHAnsi" w:eastAsiaTheme="majorEastAsia" w:hAnsiTheme="minorHAnsi"/>
          <w:color w:val="000000"/>
          <w:shd w:val="clear" w:color="auto" w:fill="FFFFFF"/>
        </w:rPr>
        <w:t>kaitsetööstuspargi baastaristule</w:t>
      </w:r>
      <w:r w:rsidR="005D5EEB">
        <w:rPr>
          <w:rStyle w:val="eop"/>
          <w:rFonts w:asciiTheme="minorHAnsi" w:eastAsiaTheme="majorEastAsia" w:hAnsiTheme="minorHAnsi"/>
          <w:color w:val="000000"/>
          <w:shd w:val="clear" w:color="auto" w:fill="FFFFFF"/>
        </w:rPr>
        <w:t xml:space="preserve"> on teostatud keskkonnamõjude strateegiline hindamine</w:t>
      </w:r>
      <w:r w:rsidR="002E1303" w:rsidRPr="4919EC1B">
        <w:rPr>
          <w:rStyle w:val="eop"/>
          <w:rFonts w:asciiTheme="minorHAnsi" w:eastAsiaTheme="majorEastAsia" w:hAnsiTheme="minorHAnsi"/>
          <w:color w:val="000000"/>
          <w:shd w:val="clear" w:color="auto" w:fill="FFFFFF"/>
        </w:rPr>
        <w:t xml:space="preserve"> ja </w:t>
      </w:r>
      <w:r w:rsidR="002E1303">
        <w:rPr>
          <w:rStyle w:val="eop"/>
          <w:rFonts w:asciiTheme="minorHAnsi" w:eastAsiaTheme="majorEastAsia" w:hAnsiTheme="minorHAnsi"/>
          <w:color w:val="000000"/>
          <w:shd w:val="clear" w:color="auto" w:fill="FFFFFF"/>
        </w:rPr>
        <w:t xml:space="preserve">punktis 3.2 välja toodud </w:t>
      </w:r>
      <w:r w:rsidR="002E1303" w:rsidRPr="4919EC1B">
        <w:rPr>
          <w:rStyle w:val="eop"/>
          <w:rFonts w:asciiTheme="minorHAnsi" w:eastAsiaTheme="majorEastAsia" w:hAnsiTheme="minorHAnsi"/>
          <w:color w:val="000000"/>
          <w:shd w:val="clear" w:color="auto" w:fill="FFFFFF"/>
        </w:rPr>
        <w:t>kõigile sõjaväelise liikuvuse investeeringutele (TEN-T maanteede, raudteede ehitus ja rekonstrueerimine)</w:t>
      </w:r>
      <w:r w:rsidR="005D5EEB">
        <w:rPr>
          <w:rStyle w:val="eop"/>
          <w:rFonts w:asciiTheme="minorHAnsi" w:eastAsiaTheme="majorEastAsia" w:hAnsiTheme="minorHAnsi"/>
          <w:color w:val="000000"/>
          <w:shd w:val="clear" w:color="auto" w:fill="FFFFFF"/>
        </w:rPr>
        <w:t xml:space="preserve"> keskkonnamõjude</w:t>
      </w:r>
      <w:r w:rsidR="0091754A">
        <w:rPr>
          <w:rStyle w:val="eop"/>
          <w:rFonts w:asciiTheme="minorHAnsi" w:eastAsiaTheme="majorEastAsia" w:hAnsiTheme="minorHAnsi"/>
          <w:color w:val="000000"/>
          <w:shd w:val="clear" w:color="auto" w:fill="FFFFFF"/>
        </w:rPr>
        <w:t xml:space="preserve"> hindamised</w:t>
      </w:r>
      <w:r w:rsidR="007E78BB">
        <w:rPr>
          <w:rStyle w:val="eop"/>
          <w:rFonts w:asciiTheme="minorHAnsi" w:eastAsiaTheme="majorEastAsia" w:hAnsiTheme="minorHAnsi"/>
          <w:color w:val="000000"/>
          <w:shd w:val="clear" w:color="auto" w:fill="FFFFFF"/>
        </w:rPr>
        <w:t xml:space="preserve">. </w:t>
      </w:r>
      <w:r w:rsidR="00C25EFA" w:rsidRPr="4919EC1B">
        <w:rPr>
          <w:rStyle w:val="eop"/>
          <w:rFonts w:asciiTheme="minorHAnsi" w:eastAsiaTheme="majorEastAsia" w:hAnsiTheme="minorHAnsi"/>
          <w:color w:val="000000"/>
          <w:shd w:val="clear" w:color="auto" w:fill="FFFFFF"/>
        </w:rPr>
        <w:t xml:space="preserve">Keskkonnamõjude hindamise </w:t>
      </w:r>
      <w:r w:rsidR="00C25EFA" w:rsidRPr="4919EC1B">
        <w:rPr>
          <w:rStyle w:val="eop"/>
          <w:rFonts w:asciiTheme="minorHAnsi" w:eastAsiaTheme="majorEastAsia" w:hAnsiTheme="minorHAnsi"/>
          <w:color w:val="000000"/>
          <w:shd w:val="clear" w:color="auto" w:fill="FFFFFF"/>
        </w:rPr>
        <w:lastRenderedPageBreak/>
        <w:t>soovitusi ja v</w:t>
      </w:r>
      <w:r w:rsidR="00B8086C" w:rsidRPr="4919EC1B">
        <w:rPr>
          <w:rStyle w:val="eop"/>
          <w:rFonts w:asciiTheme="minorHAnsi" w:eastAsiaTheme="majorEastAsia" w:hAnsiTheme="minorHAnsi"/>
          <w:color w:val="000000"/>
          <w:shd w:val="clear" w:color="auto" w:fill="FFFFFF"/>
        </w:rPr>
        <w:t>ajalikke seiremeetmeid jälgitakse</w:t>
      </w:r>
      <w:r w:rsidR="001C0F84" w:rsidRPr="4919EC1B">
        <w:rPr>
          <w:rStyle w:val="eop"/>
          <w:rFonts w:asciiTheme="minorHAnsi" w:eastAsiaTheme="majorEastAsia" w:hAnsiTheme="minorHAnsi"/>
          <w:color w:val="000000"/>
          <w:shd w:val="clear" w:color="auto" w:fill="FFFFFF"/>
        </w:rPr>
        <w:t xml:space="preserve"> toetuse andmise tingimuste koostamisel</w:t>
      </w:r>
      <w:r w:rsidR="00D24C5C" w:rsidRPr="4919EC1B">
        <w:rPr>
          <w:rStyle w:val="eop"/>
          <w:rFonts w:asciiTheme="minorHAnsi" w:eastAsiaTheme="majorEastAsia" w:hAnsiTheme="minorHAnsi"/>
          <w:color w:val="000000"/>
          <w:shd w:val="clear" w:color="auto" w:fill="FFFFFF"/>
        </w:rPr>
        <w:t xml:space="preserve"> ja projektide rakendamisel.</w:t>
      </w:r>
      <w:r w:rsidR="006C0477" w:rsidRPr="4919EC1B">
        <w:rPr>
          <w:rStyle w:val="eop"/>
          <w:rFonts w:asciiTheme="minorHAnsi" w:eastAsiaTheme="majorEastAsia" w:hAnsiTheme="minorHAnsi"/>
          <w:color w:val="000000"/>
          <w:shd w:val="clear" w:color="auto" w:fill="FFFFFF"/>
        </w:rPr>
        <w:t xml:space="preserve"> </w:t>
      </w:r>
    </w:p>
    <w:p w14:paraId="4B365175" w14:textId="26AD3F68" w:rsidR="0069494C" w:rsidRDefault="000E59C2" w:rsidP="0069494C">
      <w:pPr>
        <w:jc w:val="both"/>
        <w:rPr>
          <w:rFonts w:ascii="Aptos" w:eastAsia="Aptos" w:hAnsi="Aptos" w:cs="Aptos"/>
        </w:rPr>
      </w:pPr>
      <w:r>
        <w:rPr>
          <w:rStyle w:val="eop"/>
          <w:rFonts w:eastAsiaTheme="majorEastAsia"/>
          <w:color w:val="000000"/>
          <w:shd w:val="clear" w:color="auto" w:fill="FFFFFF"/>
        </w:rPr>
        <w:t>Punktis 3.3</w:t>
      </w:r>
      <w:r w:rsidR="008B772D">
        <w:rPr>
          <w:rStyle w:val="eop"/>
          <w:rFonts w:eastAsiaTheme="majorEastAsia"/>
          <w:color w:val="000000"/>
          <w:shd w:val="clear" w:color="auto" w:fill="FFFFFF"/>
        </w:rPr>
        <w:t xml:space="preserve"> nimetatud </w:t>
      </w:r>
      <w:r w:rsidR="0069494C" w:rsidRPr="48A82918">
        <w:rPr>
          <w:rFonts w:ascii="Aptos" w:eastAsia="Aptos" w:hAnsi="Aptos" w:cs="Aptos"/>
        </w:rPr>
        <w:t xml:space="preserve">maa-ala, kuhu on kavandatud sõjaväelinnaku rajamine, ei ole veel riigile kaitseotstarbeks antud, </w:t>
      </w:r>
      <w:r w:rsidR="008B772D">
        <w:rPr>
          <w:rFonts w:ascii="Aptos" w:eastAsia="Aptos" w:hAnsi="Aptos" w:cs="Aptos"/>
        </w:rPr>
        <w:t xml:space="preserve">mistõttu </w:t>
      </w:r>
      <w:r w:rsidR="0069494C" w:rsidRPr="48A82918">
        <w:rPr>
          <w:rFonts w:ascii="Aptos" w:eastAsia="Aptos" w:hAnsi="Aptos" w:cs="Aptos"/>
        </w:rPr>
        <w:t>ei ole veel läbi viidud keskkonnamõjude hindamist. Planeeritav ala asub olemasolevas tööstuspiirkonnas, mistõttu mõju elusloodusele on linnaku rajamisel ja kasutamisel vähene. Oluliste negatiivsete keskkonnamõjude (sh müra, vibratsioon ning muud) väljaselgitamine ning mõjude leevendamine peab toimuma edasistes keskkonnamõju hindamise/keskkonnamõju strateegilise hindamise menetlustes.</w:t>
      </w:r>
    </w:p>
    <w:p w14:paraId="5D0DB716" w14:textId="77777777" w:rsidR="00065B4B" w:rsidRDefault="00BC0A9E" w:rsidP="4919EC1B">
      <w:pPr>
        <w:pStyle w:val="Normaallaadveeb"/>
        <w:jc w:val="both"/>
        <w:rPr>
          <w:rStyle w:val="eop"/>
          <w:rFonts w:asciiTheme="minorHAnsi" w:eastAsiaTheme="majorEastAsia" w:hAnsiTheme="minorHAnsi"/>
          <w:color w:val="000000" w:themeColor="text1"/>
        </w:rPr>
      </w:pPr>
      <w:r w:rsidRPr="16D3BF2B">
        <w:rPr>
          <w:rStyle w:val="eop"/>
          <w:rFonts w:asciiTheme="minorHAnsi" w:eastAsiaTheme="majorEastAsia" w:hAnsiTheme="minorHAnsi"/>
          <w:color w:val="000000"/>
          <w:shd w:val="clear" w:color="auto" w:fill="FFFFFF"/>
        </w:rPr>
        <w:t>Punktis 3.4 nimetatud kaitseettevõtete toote</w:t>
      </w:r>
      <w:r w:rsidR="007A6EF1" w:rsidRPr="16D3BF2B">
        <w:rPr>
          <w:rStyle w:val="eop"/>
          <w:rFonts w:asciiTheme="minorHAnsi" w:eastAsiaTheme="majorEastAsia" w:hAnsiTheme="minorHAnsi"/>
          <w:color w:val="000000"/>
          <w:shd w:val="clear" w:color="auto" w:fill="FFFFFF"/>
        </w:rPr>
        <w:t>arendus</w:t>
      </w:r>
      <w:r w:rsidRPr="16D3BF2B">
        <w:rPr>
          <w:rStyle w:val="eop"/>
          <w:rFonts w:asciiTheme="minorHAnsi" w:eastAsiaTheme="majorEastAsia" w:hAnsiTheme="minorHAnsi"/>
          <w:color w:val="000000"/>
          <w:shd w:val="clear" w:color="auto" w:fill="FFFFFF"/>
        </w:rPr>
        <w:t xml:space="preserve">programmil </w:t>
      </w:r>
      <w:r w:rsidR="00C60E42" w:rsidRPr="16D3BF2B">
        <w:rPr>
          <w:rStyle w:val="eop"/>
          <w:rFonts w:asciiTheme="minorHAnsi" w:eastAsiaTheme="majorEastAsia" w:hAnsiTheme="minorHAnsi"/>
          <w:color w:val="000000"/>
          <w:shd w:val="clear" w:color="auto" w:fill="FFFFFF"/>
        </w:rPr>
        <w:t xml:space="preserve">puudub otsene negatiivne mõju, meetme raames </w:t>
      </w:r>
      <w:r w:rsidR="00331045" w:rsidRPr="16D3BF2B">
        <w:rPr>
          <w:rStyle w:val="eop"/>
          <w:rFonts w:asciiTheme="minorHAnsi" w:eastAsiaTheme="majorEastAsia" w:hAnsiTheme="minorHAnsi"/>
          <w:color w:val="000000"/>
          <w:shd w:val="clear" w:color="auto" w:fill="FFFFFF"/>
        </w:rPr>
        <w:t xml:space="preserve">ei anta investeeringutoetust. </w:t>
      </w:r>
    </w:p>
    <w:p w14:paraId="35D5DFCD" w14:textId="75B6387E" w:rsidR="000D3449" w:rsidRDefault="000D3449" w:rsidP="4919EC1B">
      <w:pPr>
        <w:pStyle w:val="Normaallaadveeb"/>
        <w:jc w:val="both"/>
        <w:rPr>
          <w:rStyle w:val="eop"/>
          <w:rFonts w:ascii="Aptos" w:eastAsiaTheme="majorEastAsia" w:hAnsi="Aptos"/>
          <w:shd w:val="clear" w:color="auto" w:fill="FFFFFF"/>
        </w:rPr>
      </w:pPr>
      <w:r>
        <w:rPr>
          <w:rStyle w:val="eop"/>
          <w:rFonts w:asciiTheme="minorHAnsi" w:eastAsiaTheme="majorEastAsia" w:hAnsiTheme="minorHAnsi"/>
          <w:color w:val="000000"/>
          <w:shd w:val="clear" w:color="auto" w:fill="FFFFFF"/>
        </w:rPr>
        <w:t>Punktis 3.5</w:t>
      </w:r>
      <w:r w:rsidR="000B4A5E">
        <w:rPr>
          <w:rStyle w:val="eop"/>
          <w:rFonts w:asciiTheme="minorHAnsi" w:eastAsiaTheme="majorEastAsia" w:hAnsiTheme="minorHAnsi"/>
          <w:color w:val="000000"/>
          <w:shd w:val="clear" w:color="auto" w:fill="FFFFFF"/>
        </w:rPr>
        <w:t xml:space="preserve"> nimetatud kaitsetehnoloogiate testimisvõimekuse loom</w:t>
      </w:r>
      <w:r w:rsidR="00463C8E">
        <w:rPr>
          <w:rStyle w:val="eop"/>
          <w:rFonts w:asciiTheme="minorHAnsi" w:eastAsiaTheme="majorEastAsia" w:hAnsiTheme="minorHAnsi"/>
          <w:color w:val="000000"/>
          <w:shd w:val="clear" w:color="auto" w:fill="FFFFFF"/>
        </w:rPr>
        <w:t>i</w:t>
      </w:r>
      <w:r w:rsidR="000B4A5E">
        <w:rPr>
          <w:rStyle w:val="eop"/>
          <w:rFonts w:asciiTheme="minorHAnsi" w:eastAsiaTheme="majorEastAsia" w:hAnsiTheme="minorHAnsi"/>
          <w:color w:val="000000"/>
          <w:shd w:val="clear" w:color="auto" w:fill="FFFFFF"/>
        </w:rPr>
        <w:t>ne ja riigikaitset toetava tehisaru võimekuse arendam</w:t>
      </w:r>
      <w:r w:rsidR="00E238FB">
        <w:rPr>
          <w:rStyle w:val="eop"/>
          <w:rFonts w:asciiTheme="minorHAnsi" w:eastAsiaTheme="majorEastAsia" w:hAnsiTheme="minorHAnsi"/>
          <w:color w:val="000000"/>
          <w:shd w:val="clear" w:color="auto" w:fill="FFFFFF"/>
        </w:rPr>
        <w:t>ise</w:t>
      </w:r>
      <w:r w:rsidR="003F52EB">
        <w:rPr>
          <w:rStyle w:val="eop"/>
          <w:rFonts w:asciiTheme="minorHAnsi" w:eastAsiaTheme="majorEastAsia" w:hAnsiTheme="minorHAnsi"/>
          <w:color w:val="000000"/>
          <w:shd w:val="clear" w:color="auto" w:fill="FFFFFF"/>
        </w:rPr>
        <w:t>ks vajalik</w:t>
      </w:r>
      <w:r w:rsidR="002A60C0">
        <w:rPr>
          <w:rStyle w:val="eop"/>
          <w:rFonts w:asciiTheme="minorHAnsi" w:eastAsiaTheme="majorEastAsia" w:hAnsiTheme="minorHAnsi"/>
          <w:color w:val="000000"/>
          <w:shd w:val="clear" w:color="auto" w:fill="FFFFFF"/>
        </w:rPr>
        <w:t>e</w:t>
      </w:r>
      <w:r w:rsidR="000B5EAD">
        <w:rPr>
          <w:rStyle w:val="eop"/>
          <w:rFonts w:asciiTheme="minorHAnsi" w:eastAsiaTheme="majorEastAsia" w:hAnsiTheme="minorHAnsi"/>
          <w:color w:val="000000"/>
          <w:shd w:val="clear" w:color="auto" w:fill="FFFFFF"/>
        </w:rPr>
        <w:t xml:space="preserve"> labori</w:t>
      </w:r>
      <w:r w:rsidR="002A60C0">
        <w:rPr>
          <w:rStyle w:val="eop"/>
          <w:rFonts w:asciiTheme="minorHAnsi" w:eastAsiaTheme="majorEastAsia" w:hAnsiTheme="minorHAnsi"/>
          <w:color w:val="000000"/>
          <w:shd w:val="clear" w:color="auto" w:fill="FFFFFF"/>
        </w:rPr>
        <w:t>te</w:t>
      </w:r>
      <w:r w:rsidR="000B5EAD">
        <w:rPr>
          <w:rStyle w:val="eop"/>
          <w:rFonts w:asciiTheme="minorHAnsi" w:eastAsiaTheme="majorEastAsia" w:hAnsiTheme="minorHAnsi"/>
          <w:color w:val="000000"/>
          <w:shd w:val="clear" w:color="auto" w:fill="FFFFFF"/>
        </w:rPr>
        <w:t xml:space="preserve"> ja testimistaristu </w:t>
      </w:r>
      <w:r w:rsidR="002A60C0">
        <w:rPr>
          <w:rStyle w:val="normaltextrun"/>
          <w:rFonts w:ascii="Aptos" w:eastAsiaTheme="majorEastAsia" w:hAnsi="Aptos"/>
          <w:color w:val="000000"/>
          <w:bdr w:val="none" w:sz="0" w:space="0" w:color="auto" w:frame="1"/>
        </w:rPr>
        <w:t xml:space="preserve">loomine ei põhjusta olulist </w:t>
      </w:r>
      <w:r w:rsidR="4F9FEA06" w:rsidRPr="3BE2EF84">
        <w:rPr>
          <w:rStyle w:val="normaltextrun"/>
          <w:rFonts w:ascii="Aptos" w:eastAsiaTheme="majorEastAsia" w:hAnsi="Aptos"/>
          <w:color w:val="000000"/>
          <w:bdr w:val="none" w:sz="0" w:space="0" w:color="auto" w:frame="1"/>
        </w:rPr>
        <w:t>negatiivset keskkonnamõju</w:t>
      </w:r>
      <w:r w:rsidR="002A60C0">
        <w:rPr>
          <w:rStyle w:val="normaltextrun"/>
          <w:rFonts w:ascii="Aptos" w:eastAsiaTheme="majorEastAsia" w:hAnsi="Aptos"/>
          <w:color w:val="000000"/>
          <w:bdr w:val="none" w:sz="0" w:space="0" w:color="auto" w:frame="1"/>
        </w:rPr>
        <w:t>, kuna tehisintellekti arendamine ja katsetamine ei ole seotud füüsilise tootmisega, mis võiks põhjustada saastet, jäätmeid või loodusressursside liigset kasutamist.</w:t>
      </w:r>
      <w:r w:rsidR="00B43AE2" w:rsidRPr="00B43AE2">
        <w:rPr>
          <w:rStyle w:val="Pealkiri1Mrk"/>
          <w:rFonts w:ascii="Aptos" w:hAnsi="Aptos"/>
          <w:color w:val="000000"/>
          <w:shd w:val="clear" w:color="auto" w:fill="FFFFFF"/>
        </w:rPr>
        <w:t xml:space="preserve"> </w:t>
      </w:r>
      <w:r w:rsidR="00B43AE2">
        <w:rPr>
          <w:rStyle w:val="normaltextrun"/>
          <w:rFonts w:ascii="Aptos" w:eastAsiaTheme="majorEastAsia" w:hAnsi="Aptos"/>
          <w:color w:val="000000"/>
          <w:shd w:val="clear" w:color="auto" w:fill="FFFFFF"/>
        </w:rPr>
        <w:t>Lisaks võivad tehisaru rakendused aidata optimeerida ressursikasutust, vähendada </w:t>
      </w:r>
      <w:r w:rsidR="00B43AE2">
        <w:rPr>
          <w:rStyle w:val="normaltextrun"/>
          <w:rFonts w:ascii="Aptos" w:eastAsiaTheme="majorEastAsia" w:hAnsi="Aptos"/>
          <w:shd w:val="clear" w:color="auto" w:fill="FFFFFF"/>
        </w:rPr>
        <w:t>energiakulu ja toetada keskkonnasõbralikke lahendusi ka teistes sektorites.</w:t>
      </w:r>
      <w:r w:rsidR="00B43AE2">
        <w:rPr>
          <w:rStyle w:val="eop"/>
          <w:rFonts w:ascii="Aptos" w:eastAsiaTheme="majorEastAsia" w:hAnsi="Aptos"/>
          <w:shd w:val="clear" w:color="auto" w:fill="FFFFFF"/>
        </w:rPr>
        <w:t> </w:t>
      </w:r>
    </w:p>
    <w:p w14:paraId="19B22532" w14:textId="063D351D" w:rsidR="00DF1B84" w:rsidRPr="002F71A2" w:rsidRDefault="001C7A21" w:rsidP="002F71A2">
      <w:pPr>
        <w:jc w:val="both"/>
        <w:rPr>
          <w:rStyle w:val="eop"/>
          <w:rFonts w:ascii="Aptos" w:eastAsia="Aptos" w:hAnsi="Aptos" w:cs="Aptos"/>
        </w:rPr>
      </w:pPr>
      <w:r>
        <w:rPr>
          <w:rStyle w:val="eop"/>
          <w:rFonts w:ascii="Aptos" w:eastAsiaTheme="majorEastAsia" w:hAnsi="Aptos"/>
          <w:shd w:val="clear" w:color="auto" w:fill="FFFFFF"/>
        </w:rPr>
        <w:t>Kuna</w:t>
      </w:r>
      <w:r w:rsidR="00972A4E">
        <w:rPr>
          <w:rStyle w:val="eop"/>
          <w:rFonts w:ascii="Aptos" w:eastAsiaTheme="majorEastAsia" w:hAnsi="Aptos"/>
          <w:shd w:val="clear" w:color="auto" w:fill="FFFFFF"/>
        </w:rPr>
        <w:t xml:space="preserve"> keskkonnamõjude hindamist vajava</w:t>
      </w:r>
      <w:r w:rsidR="00DF1B84">
        <w:rPr>
          <w:rStyle w:val="eop"/>
          <w:rFonts w:ascii="Aptos" w:eastAsiaTheme="majorEastAsia" w:hAnsi="Aptos"/>
          <w:shd w:val="clear" w:color="auto" w:fill="FFFFFF"/>
        </w:rPr>
        <w:t xml:space="preserve">tele </w:t>
      </w:r>
      <w:r w:rsidR="004C5E3D">
        <w:rPr>
          <w:rStyle w:val="eop"/>
          <w:rFonts w:ascii="Aptos" w:eastAsiaTheme="majorEastAsia" w:hAnsi="Aptos"/>
          <w:shd w:val="clear" w:color="auto" w:fill="FFFFFF"/>
        </w:rPr>
        <w:t>tegevus</w:t>
      </w:r>
      <w:r w:rsidR="00DF1B84">
        <w:rPr>
          <w:rStyle w:val="eop"/>
          <w:rFonts w:ascii="Aptos" w:eastAsiaTheme="majorEastAsia" w:hAnsi="Aptos"/>
          <w:shd w:val="clear" w:color="auto" w:fill="FFFFFF"/>
        </w:rPr>
        <w:t>tele</w:t>
      </w:r>
      <w:r w:rsidR="004C5E3D">
        <w:rPr>
          <w:rStyle w:val="eop"/>
          <w:rFonts w:ascii="Aptos" w:eastAsiaTheme="majorEastAsia" w:hAnsi="Aptos"/>
          <w:shd w:val="clear" w:color="auto" w:fill="FFFFFF"/>
        </w:rPr>
        <w:t xml:space="preserve"> (punkt</w:t>
      </w:r>
      <w:r w:rsidR="00DF1B84">
        <w:rPr>
          <w:rStyle w:val="eop"/>
          <w:rFonts w:ascii="Aptos" w:eastAsiaTheme="majorEastAsia" w:hAnsi="Aptos"/>
          <w:shd w:val="clear" w:color="auto" w:fill="FFFFFF"/>
        </w:rPr>
        <w:t>id 3.1 ja 3.2) on juba keskkonnamõjude strateegiline hindamine või keskkonnamõjude hindamine teostatud</w:t>
      </w:r>
      <w:r w:rsidR="00DF2E19">
        <w:rPr>
          <w:rStyle w:val="eop"/>
          <w:rFonts w:ascii="Aptos" w:eastAsiaTheme="majorEastAsia" w:hAnsi="Aptos"/>
          <w:shd w:val="clear" w:color="auto" w:fill="FFFFFF"/>
        </w:rPr>
        <w:t>, punktis 3.3</w:t>
      </w:r>
      <w:r w:rsidR="009B07D4">
        <w:rPr>
          <w:rStyle w:val="eop"/>
          <w:rFonts w:ascii="Aptos" w:eastAsiaTheme="majorEastAsia" w:hAnsi="Aptos"/>
          <w:shd w:val="clear" w:color="auto" w:fill="FFFFFF"/>
        </w:rPr>
        <w:t xml:space="preserve"> nimetatud sõjaväelinnaku</w:t>
      </w:r>
      <w:r w:rsidR="00C33B41">
        <w:rPr>
          <w:rStyle w:val="eop"/>
          <w:rFonts w:ascii="Aptos" w:eastAsiaTheme="majorEastAsia" w:hAnsi="Aptos"/>
          <w:shd w:val="clear" w:color="auto" w:fill="FFFFFF"/>
        </w:rPr>
        <w:t xml:space="preserve"> </w:t>
      </w:r>
      <w:r w:rsidR="00FD2793">
        <w:rPr>
          <w:rStyle w:val="eop"/>
          <w:rFonts w:ascii="Aptos" w:eastAsiaTheme="majorEastAsia" w:hAnsi="Aptos"/>
          <w:shd w:val="clear" w:color="auto" w:fill="FFFFFF"/>
        </w:rPr>
        <w:t>võimalike o</w:t>
      </w:r>
      <w:r w:rsidR="00C33B41" w:rsidRPr="48A82918">
        <w:rPr>
          <w:rFonts w:ascii="Aptos" w:eastAsia="Aptos" w:hAnsi="Aptos" w:cs="Aptos"/>
        </w:rPr>
        <w:t>luliste negatiivsete keskkonnamõjude väljaselgitamine ning mõjude leevendamine peab toimuma edasistes keskkonnamõju hindamise/keskkonnamõju strateegilise hindamise menetlustes</w:t>
      </w:r>
      <w:r w:rsidR="002F71A2">
        <w:rPr>
          <w:rFonts w:ascii="Aptos" w:eastAsia="Aptos" w:hAnsi="Aptos" w:cs="Aptos"/>
        </w:rPr>
        <w:t xml:space="preserve"> </w:t>
      </w:r>
      <w:r w:rsidR="000671A2">
        <w:rPr>
          <w:rStyle w:val="eop"/>
          <w:rFonts w:ascii="Aptos" w:eastAsiaTheme="majorEastAsia" w:hAnsi="Aptos"/>
          <w:shd w:val="clear" w:color="auto" w:fill="FFFFFF"/>
        </w:rPr>
        <w:t>ning punktis 3.4 ja 3.5 nimetatud tegevuste</w:t>
      </w:r>
      <w:r w:rsidR="004F44E0">
        <w:rPr>
          <w:rStyle w:val="eop"/>
          <w:rFonts w:ascii="Aptos" w:eastAsiaTheme="majorEastAsia" w:hAnsi="Aptos"/>
          <w:shd w:val="clear" w:color="auto" w:fill="FFFFFF"/>
        </w:rPr>
        <w:t>l on pigem kaudne positiivne mõju keskkonnaeesmärkidele</w:t>
      </w:r>
      <w:r w:rsidR="0040180A">
        <w:rPr>
          <w:rStyle w:val="eop"/>
          <w:rFonts w:ascii="Aptos" w:eastAsiaTheme="majorEastAsia" w:hAnsi="Aptos"/>
          <w:shd w:val="clear" w:color="auto" w:fill="FFFFFF"/>
        </w:rPr>
        <w:t>, siis</w:t>
      </w:r>
      <w:r w:rsidR="00FA1605">
        <w:rPr>
          <w:rStyle w:val="eop"/>
          <w:rFonts w:ascii="Aptos" w:eastAsiaTheme="majorEastAsia" w:hAnsi="Aptos"/>
          <w:shd w:val="clear" w:color="auto" w:fill="FFFFFF"/>
        </w:rPr>
        <w:t xml:space="preserve"> Ühtekuuluvuspoliitika fondide rakenduskava</w:t>
      </w:r>
      <w:r w:rsidR="005F7DEF">
        <w:rPr>
          <w:rStyle w:val="eop"/>
          <w:rFonts w:ascii="Aptos" w:eastAsiaTheme="majorEastAsia" w:hAnsi="Aptos"/>
          <w:shd w:val="clear" w:color="auto" w:fill="FFFFFF"/>
        </w:rPr>
        <w:t xml:space="preserve"> perioodiks 2021-2027 neljandale muudatusele ei ole</w:t>
      </w:r>
      <w:r w:rsidR="00F57BB9">
        <w:rPr>
          <w:rStyle w:val="eop"/>
          <w:rFonts w:ascii="Aptos" w:eastAsiaTheme="majorEastAsia" w:hAnsi="Aptos"/>
          <w:shd w:val="clear" w:color="auto" w:fill="FFFFFF"/>
        </w:rPr>
        <w:t xml:space="preserve"> keskkonnamõjude strateegilise hindamise algatamine põhjendatud.</w:t>
      </w:r>
    </w:p>
    <w:sectPr w:rsidR="00DF1B84" w:rsidRPr="002F71A2" w:rsidSect="000D5B0F">
      <w:headerReference w:type="defaul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FEA55" w14:textId="77777777" w:rsidR="00855221" w:rsidRDefault="00855221" w:rsidP="00450CB6">
      <w:pPr>
        <w:spacing w:after="0" w:line="240" w:lineRule="auto"/>
      </w:pPr>
      <w:r>
        <w:separator/>
      </w:r>
    </w:p>
  </w:endnote>
  <w:endnote w:type="continuationSeparator" w:id="0">
    <w:p w14:paraId="435E2031" w14:textId="77777777" w:rsidR="00855221" w:rsidRDefault="00855221" w:rsidP="00450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FB923" w14:textId="77777777" w:rsidR="00855221" w:rsidRDefault="00855221" w:rsidP="00450CB6">
      <w:pPr>
        <w:spacing w:after="0" w:line="240" w:lineRule="auto"/>
      </w:pPr>
      <w:r>
        <w:separator/>
      </w:r>
    </w:p>
  </w:footnote>
  <w:footnote w:type="continuationSeparator" w:id="0">
    <w:p w14:paraId="1E79B30A" w14:textId="77777777" w:rsidR="00855221" w:rsidRDefault="00855221" w:rsidP="00450CB6">
      <w:pPr>
        <w:spacing w:after="0" w:line="240" w:lineRule="auto"/>
      </w:pPr>
      <w:r>
        <w:continuationSeparator/>
      </w:r>
    </w:p>
  </w:footnote>
  <w:footnote w:id="1">
    <w:p w14:paraId="2D9D4E75" w14:textId="37D61AB3" w:rsidR="00AE5989" w:rsidRPr="002F6849" w:rsidRDefault="00AE5989">
      <w:pPr>
        <w:pStyle w:val="Allmrkusetekst"/>
      </w:pPr>
      <w:r w:rsidRPr="002F6849">
        <w:rPr>
          <w:rStyle w:val="Allmrkuseviide"/>
        </w:rPr>
        <w:footnoteRef/>
      </w:r>
      <w:r w:rsidRPr="002F6849">
        <w:t xml:space="preserve"> </w:t>
      </w:r>
      <w:hyperlink r:id="rId1" w:history="1">
        <w:r w:rsidR="0023171E" w:rsidRPr="002F6849">
          <w:rPr>
            <w:color w:val="0000FF"/>
            <w:u w:val="single"/>
          </w:rPr>
          <w:t>Euroopa Parlamendi ja nõukogu määrus (EL) 2025/1914</w:t>
        </w:r>
      </w:hyperlink>
    </w:p>
  </w:footnote>
  <w:footnote w:id="2">
    <w:p w14:paraId="47756D49" w14:textId="5739F0C9" w:rsidR="00A21FA4" w:rsidRDefault="00A21FA4">
      <w:pPr>
        <w:pStyle w:val="Allmrkusetekst"/>
      </w:pPr>
      <w:r w:rsidRPr="002F6849">
        <w:rPr>
          <w:rStyle w:val="Allmrkuseviide"/>
        </w:rPr>
        <w:footnoteRef/>
      </w:r>
      <w:r w:rsidRPr="002F6849">
        <w:t xml:space="preserve"> </w:t>
      </w:r>
      <w:r w:rsidRPr="002F6849">
        <w:rPr>
          <w:rStyle w:val="normaltextrun"/>
          <w:rFonts w:ascii="Cambria" w:hAnsi="Cambria"/>
          <w:color w:val="000000"/>
          <w:shd w:val="clear" w:color="auto" w:fill="FFFFFF"/>
        </w:rPr>
        <w:t>8. mail 2025. a kinnitati Vabariigi Valitsuses Eesti seisukohad Euroopa Komisjoni ettepanekute kohta eelarveperioodi 2021-2027 Euroopa Liidu ühtekuuluvuspoliitika fondide määruste muutmiseks.</w:t>
      </w:r>
      <w:r>
        <w:rPr>
          <w:rStyle w:val="eop"/>
          <w:rFonts w:ascii="Cambria" w:hAnsi="Cambria"/>
          <w:color w:val="000000"/>
          <w:shd w:val="clear" w:color="auto" w:fill="FFFFFF"/>
        </w:rPr>
        <w:t> </w:t>
      </w:r>
    </w:p>
  </w:footnote>
  <w:footnote w:id="3">
    <w:p w14:paraId="5E3D500F" w14:textId="79ACDA7A" w:rsidR="002853FE" w:rsidRPr="00935840" w:rsidRDefault="002853FE">
      <w:pPr>
        <w:pStyle w:val="Allmrkusetekst"/>
      </w:pPr>
      <w:r w:rsidRPr="00935840">
        <w:rPr>
          <w:rStyle w:val="Allmrkuseviide"/>
        </w:rPr>
        <w:footnoteRef/>
      </w:r>
      <w:r w:rsidRPr="00935840">
        <w:t xml:space="preserve"> </w:t>
      </w:r>
      <w:hyperlink r:id="rId2" w:history="1">
        <w:r w:rsidRPr="00935840">
          <w:rPr>
            <w:color w:val="0000FF"/>
            <w:u w:val="single"/>
          </w:rPr>
          <w:t>Strateegia "Eesti 2035" | Eesti Vabariigi Valitsus</w:t>
        </w:r>
      </w:hyperlink>
    </w:p>
  </w:footnote>
  <w:footnote w:id="4">
    <w:p w14:paraId="0F119041" w14:textId="1F1E2B6B" w:rsidR="00260B4E" w:rsidRPr="00935840" w:rsidRDefault="00260B4E">
      <w:pPr>
        <w:pStyle w:val="Allmrkusetekst"/>
      </w:pPr>
      <w:r w:rsidRPr="00935840">
        <w:rPr>
          <w:rStyle w:val="Allmrkuseviide"/>
        </w:rPr>
        <w:footnoteRef/>
      </w:r>
      <w:r w:rsidRPr="00935840">
        <w:t xml:space="preserve"> </w:t>
      </w:r>
      <w:hyperlink r:id="rId3" w:history="1">
        <w:proofErr w:type="spellStart"/>
        <w:r w:rsidR="005354E4">
          <w:rPr>
            <w:color w:val="0000FF"/>
            <w:u w:val="single"/>
          </w:rPr>
          <w:t>TUV_Julgeolek</w:t>
        </w:r>
        <w:proofErr w:type="spellEnd"/>
        <w:r w:rsidR="005354E4">
          <w:rPr>
            <w:color w:val="0000FF"/>
            <w:u w:val="single"/>
          </w:rPr>
          <w:t xml:space="preserve"> ja Riigikaitse 2024. aasta tulemusaruanne</w:t>
        </w:r>
      </w:hyperlink>
    </w:p>
  </w:footnote>
  <w:footnote w:id="5">
    <w:p w14:paraId="4EF91C5C" w14:textId="0EBF1473" w:rsidR="00935840" w:rsidRDefault="00935840">
      <w:pPr>
        <w:pStyle w:val="Allmrkusetekst"/>
      </w:pPr>
      <w:r w:rsidRPr="00935840">
        <w:rPr>
          <w:rStyle w:val="Allmrkuseviide"/>
        </w:rPr>
        <w:footnoteRef/>
      </w:r>
      <w:r w:rsidRPr="00935840">
        <w:t xml:space="preserve"> </w:t>
      </w:r>
      <w:hyperlink r:id="rId4" w:history="1">
        <w:r w:rsidRPr="00935840">
          <w:rPr>
            <w:color w:val="0000FF"/>
            <w:u w:val="single"/>
          </w:rPr>
          <w:t>TUV_T&amp;A ning ettevõtlus 2024. aasta tulemusaruanne</w:t>
        </w:r>
      </w:hyperlink>
    </w:p>
  </w:footnote>
  <w:footnote w:id="6">
    <w:p w14:paraId="69C7713E" w14:textId="0B3C3F0A" w:rsidR="002211ED" w:rsidRDefault="002211ED">
      <w:pPr>
        <w:pStyle w:val="Allmrkusetekst"/>
      </w:pPr>
      <w:r>
        <w:rPr>
          <w:rStyle w:val="Allmrkuseviide"/>
        </w:rPr>
        <w:footnoteRef/>
      </w:r>
      <w:r>
        <w:t xml:space="preserve"> </w:t>
      </w:r>
      <w:hyperlink r:id="rId5" w:history="1">
        <w:r w:rsidRPr="002211ED">
          <w:rPr>
            <w:color w:val="0000FF"/>
            <w:sz w:val="24"/>
            <w:szCs w:val="24"/>
            <w:u w:val="single"/>
          </w:rPr>
          <w:t>Kaitsetööstuspargi riigi eriplaneeringu ja keskkonnamõju strateegilise hindamise algatamine–Riigi Teataja</w:t>
        </w:r>
      </w:hyperlink>
    </w:p>
  </w:footnote>
  <w:footnote w:id="7">
    <w:p w14:paraId="79740250" w14:textId="0E59A02C" w:rsidR="00FD5F62" w:rsidRDefault="00FD5F62">
      <w:pPr>
        <w:pStyle w:val="Allmrkusetekst"/>
      </w:pPr>
      <w:r>
        <w:rPr>
          <w:rStyle w:val="Allmrkuseviide"/>
        </w:rPr>
        <w:footnoteRef/>
      </w:r>
      <w:r>
        <w:t xml:space="preserve"> </w:t>
      </w:r>
      <w:hyperlink r:id="rId6" w:history="1">
        <w:r>
          <w:rPr>
            <w:color w:val="0000FF"/>
            <w:sz w:val="24"/>
            <w:szCs w:val="24"/>
            <w:u w:val="single"/>
          </w:rPr>
          <w:t>Kaitsetööstuspargi eriplaneering ja KSH</w:t>
        </w:r>
      </w:hyperlink>
    </w:p>
  </w:footnote>
  <w:footnote w:id="8">
    <w:p w14:paraId="52C818D7" w14:textId="77777777" w:rsidR="00A456BA" w:rsidRDefault="00A456BA" w:rsidP="00A456BA">
      <w:pPr>
        <w:pStyle w:val="Allmrkusetekst"/>
      </w:pPr>
      <w:r>
        <w:rPr>
          <w:rStyle w:val="Allmrkuseviide"/>
        </w:rPr>
        <w:footnoteRef/>
      </w:r>
      <w:r>
        <w:t xml:space="preserve"> </w:t>
      </w:r>
      <w:hyperlink r:id="rId7" w:history="1">
        <w:r w:rsidRPr="005670DA">
          <w:rPr>
            <w:color w:val="0000FF"/>
            <w:sz w:val="24"/>
            <w:szCs w:val="24"/>
            <w:u w:val="single"/>
          </w:rPr>
          <w:t>ksh_lisa_5_natura_hindamine.pdf</w:t>
        </w:r>
      </w:hyperlink>
    </w:p>
  </w:footnote>
  <w:footnote w:id="9">
    <w:p w14:paraId="36BCBF08" w14:textId="774D6E51" w:rsidR="2999F8CB" w:rsidRDefault="2999F8CB" w:rsidP="2999F8CB">
      <w:pPr>
        <w:pStyle w:val="Allmrkusetekst"/>
      </w:pPr>
      <w:r w:rsidRPr="2999F8CB">
        <w:rPr>
          <w:rStyle w:val="Allmrkuseviide"/>
        </w:rPr>
        <w:footnoteRef/>
      </w:r>
      <w:r>
        <w:t xml:space="preserve"> </w:t>
      </w:r>
      <w:hyperlink r:id="rId8">
        <w:r w:rsidRPr="2999F8CB">
          <w:rPr>
            <w:rStyle w:val="Hperlink"/>
          </w:rPr>
          <w:t>EUR-Lex - 52022JC0048 - EN - EUR-Lex</w:t>
        </w:r>
      </w:hyperlink>
    </w:p>
    <w:p w14:paraId="7D2D7484" w14:textId="400412C9" w:rsidR="2999F8CB" w:rsidRDefault="2999F8CB" w:rsidP="2999F8CB">
      <w:pPr>
        <w:pStyle w:val="Allmrkuse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6158144"/>
      <w:docPartObj>
        <w:docPartGallery w:val="Page Numbers (Top of Page)"/>
        <w:docPartUnique/>
      </w:docPartObj>
    </w:sdtPr>
    <w:sdtContent>
      <w:p w14:paraId="1C8CF6B1" w14:textId="6363238A" w:rsidR="000D5B0F" w:rsidRDefault="000D5B0F">
        <w:pPr>
          <w:pStyle w:val="Pis"/>
          <w:jc w:val="right"/>
        </w:pPr>
        <w:r>
          <w:fldChar w:fldCharType="begin"/>
        </w:r>
        <w:r>
          <w:instrText>PAGE   \* MERGEFORMAT</w:instrText>
        </w:r>
        <w:r>
          <w:fldChar w:fldCharType="separate"/>
        </w:r>
        <w:r>
          <w:t>2</w:t>
        </w:r>
        <w:r>
          <w:fldChar w:fldCharType="end"/>
        </w:r>
      </w:p>
    </w:sdtContent>
  </w:sdt>
  <w:p w14:paraId="04827A15" w14:textId="77777777" w:rsidR="000D5B0F" w:rsidRDefault="000D5B0F">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2419"/>
    <w:multiLevelType w:val="hybridMultilevel"/>
    <w:tmpl w:val="63120C2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3767552"/>
    <w:multiLevelType w:val="hybridMultilevel"/>
    <w:tmpl w:val="CB24D3D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54D109D"/>
    <w:multiLevelType w:val="hybridMultilevel"/>
    <w:tmpl w:val="A3AA1EC0"/>
    <w:lvl w:ilvl="0" w:tplc="04250011">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4AE0473"/>
    <w:multiLevelType w:val="multilevel"/>
    <w:tmpl w:val="B5180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1F2CF9"/>
    <w:multiLevelType w:val="multilevel"/>
    <w:tmpl w:val="0BFC02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33156796"/>
    <w:multiLevelType w:val="multilevel"/>
    <w:tmpl w:val="472CB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E11F0E"/>
    <w:multiLevelType w:val="multilevel"/>
    <w:tmpl w:val="47B082D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40106D2B"/>
    <w:multiLevelType w:val="hybridMultilevel"/>
    <w:tmpl w:val="F9A6DA02"/>
    <w:lvl w:ilvl="0" w:tplc="42A6619E">
      <w:start w:val="1"/>
      <w:numFmt w:val="decimal"/>
      <w:lvlText w:val="%1)"/>
      <w:lvlJc w:val="left"/>
      <w:pPr>
        <w:ind w:left="720" w:hanging="360"/>
      </w:pPr>
    </w:lvl>
    <w:lvl w:ilvl="1" w:tplc="5EBA70CE">
      <w:start w:val="1"/>
      <w:numFmt w:val="lowerLetter"/>
      <w:lvlText w:val="%2."/>
      <w:lvlJc w:val="left"/>
      <w:pPr>
        <w:ind w:left="720" w:hanging="360"/>
      </w:pPr>
    </w:lvl>
    <w:lvl w:ilvl="2" w:tplc="F7842112">
      <w:start w:val="1"/>
      <w:numFmt w:val="lowerLetter"/>
      <w:lvlText w:val="%3."/>
      <w:lvlJc w:val="left"/>
      <w:pPr>
        <w:ind w:left="720" w:hanging="360"/>
      </w:pPr>
    </w:lvl>
    <w:lvl w:ilvl="3" w:tplc="19C043D4">
      <w:start w:val="1"/>
      <w:numFmt w:val="lowerLetter"/>
      <w:lvlText w:val="%4."/>
      <w:lvlJc w:val="left"/>
      <w:pPr>
        <w:ind w:left="720" w:hanging="360"/>
      </w:pPr>
    </w:lvl>
    <w:lvl w:ilvl="4" w:tplc="A4C23D30">
      <w:start w:val="1"/>
      <w:numFmt w:val="lowerLetter"/>
      <w:lvlText w:val="%5."/>
      <w:lvlJc w:val="left"/>
      <w:pPr>
        <w:ind w:left="720" w:hanging="360"/>
      </w:pPr>
    </w:lvl>
    <w:lvl w:ilvl="5" w:tplc="BF6ADD70">
      <w:start w:val="1"/>
      <w:numFmt w:val="lowerLetter"/>
      <w:lvlText w:val="%6."/>
      <w:lvlJc w:val="left"/>
      <w:pPr>
        <w:ind w:left="720" w:hanging="360"/>
      </w:pPr>
    </w:lvl>
    <w:lvl w:ilvl="6" w:tplc="8FEA9650">
      <w:start w:val="1"/>
      <w:numFmt w:val="lowerLetter"/>
      <w:lvlText w:val="%7."/>
      <w:lvlJc w:val="left"/>
      <w:pPr>
        <w:ind w:left="720" w:hanging="360"/>
      </w:pPr>
    </w:lvl>
    <w:lvl w:ilvl="7" w:tplc="1C94C962">
      <w:start w:val="1"/>
      <w:numFmt w:val="lowerLetter"/>
      <w:lvlText w:val="%8."/>
      <w:lvlJc w:val="left"/>
      <w:pPr>
        <w:ind w:left="720" w:hanging="360"/>
      </w:pPr>
    </w:lvl>
    <w:lvl w:ilvl="8" w:tplc="36386946">
      <w:start w:val="1"/>
      <w:numFmt w:val="lowerLetter"/>
      <w:lvlText w:val="%9."/>
      <w:lvlJc w:val="left"/>
      <w:pPr>
        <w:ind w:left="720" w:hanging="360"/>
      </w:pPr>
    </w:lvl>
  </w:abstractNum>
  <w:abstractNum w:abstractNumId="8" w15:restartNumberingAfterBreak="0">
    <w:nsid w:val="440818D4"/>
    <w:multiLevelType w:val="hybridMultilevel"/>
    <w:tmpl w:val="9C74AF1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B9E31F3"/>
    <w:multiLevelType w:val="multilevel"/>
    <w:tmpl w:val="FF421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ED7483"/>
    <w:multiLevelType w:val="hybridMultilevel"/>
    <w:tmpl w:val="38D6C7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6BD6124"/>
    <w:multiLevelType w:val="hybridMultilevel"/>
    <w:tmpl w:val="D026BD30"/>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645F31E0"/>
    <w:multiLevelType w:val="hybridMultilevel"/>
    <w:tmpl w:val="5E36A930"/>
    <w:lvl w:ilvl="0" w:tplc="0B24D324">
      <w:start w:val="1"/>
      <w:numFmt w:val="bullet"/>
      <w:lvlText w:val="-"/>
      <w:lvlJc w:val="left"/>
      <w:pPr>
        <w:ind w:left="720" w:hanging="360"/>
      </w:pPr>
      <w:rPr>
        <w:rFonts w:ascii="Symbol" w:hAnsi="Symbol" w:hint="default"/>
      </w:rPr>
    </w:lvl>
    <w:lvl w:ilvl="1" w:tplc="CCB845F2">
      <w:start w:val="1"/>
      <w:numFmt w:val="bullet"/>
      <w:lvlText w:val="o"/>
      <w:lvlJc w:val="left"/>
      <w:pPr>
        <w:ind w:left="1440" w:hanging="360"/>
      </w:pPr>
      <w:rPr>
        <w:rFonts w:ascii="Courier New" w:hAnsi="Courier New" w:hint="default"/>
      </w:rPr>
    </w:lvl>
    <w:lvl w:ilvl="2" w:tplc="D6400EBA">
      <w:start w:val="1"/>
      <w:numFmt w:val="bullet"/>
      <w:lvlText w:val=""/>
      <w:lvlJc w:val="left"/>
      <w:pPr>
        <w:ind w:left="2160" w:hanging="360"/>
      </w:pPr>
      <w:rPr>
        <w:rFonts w:ascii="Wingdings" w:hAnsi="Wingdings" w:hint="default"/>
      </w:rPr>
    </w:lvl>
    <w:lvl w:ilvl="3" w:tplc="6130D06A">
      <w:start w:val="1"/>
      <w:numFmt w:val="bullet"/>
      <w:lvlText w:val=""/>
      <w:lvlJc w:val="left"/>
      <w:pPr>
        <w:ind w:left="2880" w:hanging="360"/>
      </w:pPr>
      <w:rPr>
        <w:rFonts w:ascii="Symbol" w:hAnsi="Symbol" w:hint="default"/>
      </w:rPr>
    </w:lvl>
    <w:lvl w:ilvl="4" w:tplc="2020BD4E">
      <w:start w:val="1"/>
      <w:numFmt w:val="bullet"/>
      <w:lvlText w:val="o"/>
      <w:lvlJc w:val="left"/>
      <w:pPr>
        <w:ind w:left="3600" w:hanging="360"/>
      </w:pPr>
      <w:rPr>
        <w:rFonts w:ascii="Courier New" w:hAnsi="Courier New" w:hint="default"/>
      </w:rPr>
    </w:lvl>
    <w:lvl w:ilvl="5" w:tplc="FFE6D2A4">
      <w:start w:val="1"/>
      <w:numFmt w:val="bullet"/>
      <w:lvlText w:val=""/>
      <w:lvlJc w:val="left"/>
      <w:pPr>
        <w:ind w:left="4320" w:hanging="360"/>
      </w:pPr>
      <w:rPr>
        <w:rFonts w:ascii="Wingdings" w:hAnsi="Wingdings" w:hint="default"/>
      </w:rPr>
    </w:lvl>
    <w:lvl w:ilvl="6" w:tplc="85B038A4">
      <w:start w:val="1"/>
      <w:numFmt w:val="bullet"/>
      <w:lvlText w:val=""/>
      <w:lvlJc w:val="left"/>
      <w:pPr>
        <w:ind w:left="5040" w:hanging="360"/>
      </w:pPr>
      <w:rPr>
        <w:rFonts w:ascii="Symbol" w:hAnsi="Symbol" w:hint="default"/>
      </w:rPr>
    </w:lvl>
    <w:lvl w:ilvl="7" w:tplc="3ACE58EC">
      <w:start w:val="1"/>
      <w:numFmt w:val="bullet"/>
      <w:lvlText w:val="o"/>
      <w:lvlJc w:val="left"/>
      <w:pPr>
        <w:ind w:left="5760" w:hanging="360"/>
      </w:pPr>
      <w:rPr>
        <w:rFonts w:ascii="Courier New" w:hAnsi="Courier New" w:hint="default"/>
      </w:rPr>
    </w:lvl>
    <w:lvl w:ilvl="8" w:tplc="AD64704E">
      <w:start w:val="1"/>
      <w:numFmt w:val="bullet"/>
      <w:lvlText w:val=""/>
      <w:lvlJc w:val="left"/>
      <w:pPr>
        <w:ind w:left="6480" w:hanging="360"/>
      </w:pPr>
      <w:rPr>
        <w:rFonts w:ascii="Wingdings" w:hAnsi="Wingdings" w:hint="default"/>
      </w:rPr>
    </w:lvl>
  </w:abstractNum>
  <w:abstractNum w:abstractNumId="13" w15:restartNumberingAfterBreak="0">
    <w:nsid w:val="75D001C7"/>
    <w:multiLevelType w:val="multilevel"/>
    <w:tmpl w:val="BC72EEB8"/>
    <w:lvl w:ilvl="0">
      <w:start w:val="1"/>
      <w:numFmt w:val="decimal"/>
      <w:lvlText w:val="%1."/>
      <w:lvlJc w:val="left"/>
      <w:pPr>
        <w:ind w:left="720" w:hanging="360"/>
      </w:pPr>
      <w:rPr>
        <w:rFonts w:hint="default"/>
      </w:rPr>
    </w:lvl>
    <w:lvl w:ilvl="1">
      <w:start w:val="2"/>
      <w:numFmt w:val="decimal"/>
      <w:isLgl/>
      <w:lvlText w:val="%1.%2"/>
      <w:lvlJc w:val="left"/>
      <w:pPr>
        <w:ind w:left="730" w:hanging="370"/>
      </w:pPr>
      <w:rPr>
        <w:rFonts w:eastAsiaTheme="majorEastAsia" w:cs="Times New Roman" w:hint="default"/>
        <w:color w:val="000000"/>
        <w:sz w:val="24"/>
      </w:rPr>
    </w:lvl>
    <w:lvl w:ilvl="2">
      <w:start w:val="1"/>
      <w:numFmt w:val="decimal"/>
      <w:isLgl/>
      <w:lvlText w:val="%1.%2.%3"/>
      <w:lvlJc w:val="left"/>
      <w:pPr>
        <w:ind w:left="1080" w:hanging="720"/>
      </w:pPr>
      <w:rPr>
        <w:rFonts w:eastAsiaTheme="majorEastAsia" w:cs="Times New Roman" w:hint="default"/>
        <w:color w:val="000000"/>
        <w:sz w:val="24"/>
      </w:rPr>
    </w:lvl>
    <w:lvl w:ilvl="3">
      <w:start w:val="1"/>
      <w:numFmt w:val="decimal"/>
      <w:isLgl/>
      <w:lvlText w:val="%1.%2.%3.%4"/>
      <w:lvlJc w:val="left"/>
      <w:pPr>
        <w:ind w:left="1440" w:hanging="1080"/>
      </w:pPr>
      <w:rPr>
        <w:rFonts w:eastAsiaTheme="majorEastAsia" w:cs="Times New Roman" w:hint="default"/>
        <w:color w:val="000000"/>
        <w:sz w:val="24"/>
      </w:rPr>
    </w:lvl>
    <w:lvl w:ilvl="4">
      <w:start w:val="1"/>
      <w:numFmt w:val="decimal"/>
      <w:isLgl/>
      <w:lvlText w:val="%1.%2.%3.%4.%5"/>
      <w:lvlJc w:val="left"/>
      <w:pPr>
        <w:ind w:left="1440" w:hanging="1080"/>
      </w:pPr>
      <w:rPr>
        <w:rFonts w:eastAsiaTheme="majorEastAsia" w:cs="Times New Roman" w:hint="default"/>
        <w:color w:val="000000"/>
        <w:sz w:val="24"/>
      </w:rPr>
    </w:lvl>
    <w:lvl w:ilvl="5">
      <w:start w:val="1"/>
      <w:numFmt w:val="decimal"/>
      <w:isLgl/>
      <w:lvlText w:val="%1.%2.%3.%4.%5.%6"/>
      <w:lvlJc w:val="left"/>
      <w:pPr>
        <w:ind w:left="1800" w:hanging="1440"/>
      </w:pPr>
      <w:rPr>
        <w:rFonts w:eastAsiaTheme="majorEastAsia" w:cs="Times New Roman" w:hint="default"/>
        <w:color w:val="000000"/>
        <w:sz w:val="24"/>
      </w:rPr>
    </w:lvl>
    <w:lvl w:ilvl="6">
      <w:start w:val="1"/>
      <w:numFmt w:val="decimal"/>
      <w:isLgl/>
      <w:lvlText w:val="%1.%2.%3.%4.%5.%6.%7"/>
      <w:lvlJc w:val="left"/>
      <w:pPr>
        <w:ind w:left="1800" w:hanging="1440"/>
      </w:pPr>
      <w:rPr>
        <w:rFonts w:eastAsiaTheme="majorEastAsia" w:cs="Times New Roman" w:hint="default"/>
        <w:color w:val="000000"/>
        <w:sz w:val="24"/>
      </w:rPr>
    </w:lvl>
    <w:lvl w:ilvl="7">
      <w:start w:val="1"/>
      <w:numFmt w:val="decimal"/>
      <w:isLgl/>
      <w:lvlText w:val="%1.%2.%3.%4.%5.%6.%7.%8"/>
      <w:lvlJc w:val="left"/>
      <w:pPr>
        <w:ind w:left="2160" w:hanging="1800"/>
      </w:pPr>
      <w:rPr>
        <w:rFonts w:eastAsiaTheme="majorEastAsia" w:cs="Times New Roman" w:hint="default"/>
        <w:color w:val="000000"/>
        <w:sz w:val="24"/>
      </w:rPr>
    </w:lvl>
    <w:lvl w:ilvl="8">
      <w:start w:val="1"/>
      <w:numFmt w:val="decimal"/>
      <w:isLgl/>
      <w:lvlText w:val="%1.%2.%3.%4.%5.%6.%7.%8.%9"/>
      <w:lvlJc w:val="left"/>
      <w:pPr>
        <w:ind w:left="2160" w:hanging="1800"/>
      </w:pPr>
      <w:rPr>
        <w:rFonts w:eastAsiaTheme="majorEastAsia" w:cs="Times New Roman" w:hint="default"/>
        <w:color w:val="000000"/>
        <w:sz w:val="24"/>
      </w:rPr>
    </w:lvl>
  </w:abstractNum>
  <w:abstractNum w:abstractNumId="14" w15:restartNumberingAfterBreak="0">
    <w:nsid w:val="7C7E5232"/>
    <w:multiLevelType w:val="hybridMultilevel"/>
    <w:tmpl w:val="0470B5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30588921">
    <w:abstractNumId w:val="12"/>
  </w:num>
  <w:num w:numId="2" w16cid:durableId="632564270">
    <w:abstractNumId w:val="11"/>
  </w:num>
  <w:num w:numId="3" w16cid:durableId="180436948">
    <w:abstractNumId w:val="1"/>
  </w:num>
  <w:num w:numId="4" w16cid:durableId="1985162983">
    <w:abstractNumId w:val="8"/>
  </w:num>
  <w:num w:numId="5" w16cid:durableId="259530275">
    <w:abstractNumId w:val="2"/>
  </w:num>
  <w:num w:numId="6" w16cid:durableId="80952158">
    <w:abstractNumId w:val="14"/>
  </w:num>
  <w:num w:numId="7" w16cid:durableId="688994028">
    <w:abstractNumId w:val="10"/>
  </w:num>
  <w:num w:numId="8" w16cid:durableId="1949316100">
    <w:abstractNumId w:val="0"/>
  </w:num>
  <w:num w:numId="9" w16cid:durableId="55318989">
    <w:abstractNumId w:val="9"/>
  </w:num>
  <w:num w:numId="10" w16cid:durableId="2009819851">
    <w:abstractNumId w:val="3"/>
  </w:num>
  <w:num w:numId="11" w16cid:durableId="808476983">
    <w:abstractNumId w:val="5"/>
  </w:num>
  <w:num w:numId="12" w16cid:durableId="2080059714">
    <w:abstractNumId w:val="4"/>
  </w:num>
  <w:num w:numId="13" w16cid:durableId="284234112">
    <w:abstractNumId w:val="6"/>
  </w:num>
  <w:num w:numId="14" w16cid:durableId="1237741485">
    <w:abstractNumId w:val="13"/>
  </w:num>
  <w:num w:numId="15" w16cid:durableId="4210255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B85"/>
    <w:rsid w:val="00017E70"/>
    <w:rsid w:val="00023306"/>
    <w:rsid w:val="000278C3"/>
    <w:rsid w:val="00043C09"/>
    <w:rsid w:val="00045D96"/>
    <w:rsid w:val="00055547"/>
    <w:rsid w:val="00065B4B"/>
    <w:rsid w:val="000671A2"/>
    <w:rsid w:val="00072915"/>
    <w:rsid w:val="000853DA"/>
    <w:rsid w:val="00090B9E"/>
    <w:rsid w:val="000A6378"/>
    <w:rsid w:val="000B4A5E"/>
    <w:rsid w:val="000B5EAD"/>
    <w:rsid w:val="000C199B"/>
    <w:rsid w:val="000C2008"/>
    <w:rsid w:val="000D3449"/>
    <w:rsid w:val="000D5B0F"/>
    <w:rsid w:val="000E1230"/>
    <w:rsid w:val="000E59C2"/>
    <w:rsid w:val="000F3643"/>
    <w:rsid w:val="000F4987"/>
    <w:rsid w:val="00113830"/>
    <w:rsid w:val="00116A0A"/>
    <w:rsid w:val="00116ADF"/>
    <w:rsid w:val="00122B23"/>
    <w:rsid w:val="001340EC"/>
    <w:rsid w:val="0013796D"/>
    <w:rsid w:val="00143151"/>
    <w:rsid w:val="0014711A"/>
    <w:rsid w:val="00156E55"/>
    <w:rsid w:val="00171C54"/>
    <w:rsid w:val="00172717"/>
    <w:rsid w:val="001739AA"/>
    <w:rsid w:val="00175847"/>
    <w:rsid w:val="0018195F"/>
    <w:rsid w:val="0018393A"/>
    <w:rsid w:val="00183CF1"/>
    <w:rsid w:val="00183E93"/>
    <w:rsid w:val="00192EE9"/>
    <w:rsid w:val="001946AA"/>
    <w:rsid w:val="00194A8B"/>
    <w:rsid w:val="001B0177"/>
    <w:rsid w:val="001C0F84"/>
    <w:rsid w:val="001C7A21"/>
    <w:rsid w:val="001D0868"/>
    <w:rsid w:val="001D3F50"/>
    <w:rsid w:val="001D5371"/>
    <w:rsid w:val="001D7743"/>
    <w:rsid w:val="001F07FB"/>
    <w:rsid w:val="002010F0"/>
    <w:rsid w:val="00206181"/>
    <w:rsid w:val="0020790E"/>
    <w:rsid w:val="00217A57"/>
    <w:rsid w:val="002211ED"/>
    <w:rsid w:val="00225FCE"/>
    <w:rsid w:val="00226C28"/>
    <w:rsid w:val="00227752"/>
    <w:rsid w:val="0023171E"/>
    <w:rsid w:val="00242FA0"/>
    <w:rsid w:val="00253E16"/>
    <w:rsid w:val="00257E6B"/>
    <w:rsid w:val="00260B4E"/>
    <w:rsid w:val="00261D3B"/>
    <w:rsid w:val="002620E0"/>
    <w:rsid w:val="00272D14"/>
    <w:rsid w:val="00276312"/>
    <w:rsid w:val="00280D05"/>
    <w:rsid w:val="00281122"/>
    <w:rsid w:val="00284FA3"/>
    <w:rsid w:val="002853FE"/>
    <w:rsid w:val="00285721"/>
    <w:rsid w:val="00296999"/>
    <w:rsid w:val="002A1B22"/>
    <w:rsid w:val="002A60C0"/>
    <w:rsid w:val="002A7730"/>
    <w:rsid w:val="002B2403"/>
    <w:rsid w:val="002C1A74"/>
    <w:rsid w:val="002C454B"/>
    <w:rsid w:val="002C6508"/>
    <w:rsid w:val="002D0EDF"/>
    <w:rsid w:val="002E1303"/>
    <w:rsid w:val="002E3002"/>
    <w:rsid w:val="002F0BE9"/>
    <w:rsid w:val="002F0EA1"/>
    <w:rsid w:val="002F1600"/>
    <w:rsid w:val="002F2571"/>
    <w:rsid w:val="002F6849"/>
    <w:rsid w:val="002F71A2"/>
    <w:rsid w:val="002F7672"/>
    <w:rsid w:val="00310427"/>
    <w:rsid w:val="00310B00"/>
    <w:rsid w:val="003249CC"/>
    <w:rsid w:val="003303AF"/>
    <w:rsid w:val="00331045"/>
    <w:rsid w:val="00331996"/>
    <w:rsid w:val="003372F6"/>
    <w:rsid w:val="0034035F"/>
    <w:rsid w:val="00343BF1"/>
    <w:rsid w:val="0034510C"/>
    <w:rsid w:val="00347AB4"/>
    <w:rsid w:val="00362A33"/>
    <w:rsid w:val="0036366A"/>
    <w:rsid w:val="0037146F"/>
    <w:rsid w:val="003714CF"/>
    <w:rsid w:val="003725CA"/>
    <w:rsid w:val="00376590"/>
    <w:rsid w:val="00377E0E"/>
    <w:rsid w:val="00394A0B"/>
    <w:rsid w:val="003A1333"/>
    <w:rsid w:val="003A4EF5"/>
    <w:rsid w:val="003E0E42"/>
    <w:rsid w:val="003E7D2F"/>
    <w:rsid w:val="003F231B"/>
    <w:rsid w:val="003F52EB"/>
    <w:rsid w:val="0040180A"/>
    <w:rsid w:val="0040585B"/>
    <w:rsid w:val="0041445A"/>
    <w:rsid w:val="00420694"/>
    <w:rsid w:val="0043196D"/>
    <w:rsid w:val="004424C9"/>
    <w:rsid w:val="00450CB6"/>
    <w:rsid w:val="00454C4A"/>
    <w:rsid w:val="00456E72"/>
    <w:rsid w:val="00460519"/>
    <w:rsid w:val="004610AB"/>
    <w:rsid w:val="004611FF"/>
    <w:rsid w:val="00463C8E"/>
    <w:rsid w:val="00466183"/>
    <w:rsid w:val="00475FDF"/>
    <w:rsid w:val="00475FF9"/>
    <w:rsid w:val="004761E6"/>
    <w:rsid w:val="00485B71"/>
    <w:rsid w:val="004A6184"/>
    <w:rsid w:val="004A7B0A"/>
    <w:rsid w:val="004C4B06"/>
    <w:rsid w:val="004C5E3D"/>
    <w:rsid w:val="004E4190"/>
    <w:rsid w:val="004E60F5"/>
    <w:rsid w:val="004F16DD"/>
    <w:rsid w:val="004F44E0"/>
    <w:rsid w:val="005059E7"/>
    <w:rsid w:val="005178D8"/>
    <w:rsid w:val="0052047C"/>
    <w:rsid w:val="005219B3"/>
    <w:rsid w:val="00522505"/>
    <w:rsid w:val="005237DF"/>
    <w:rsid w:val="00531F49"/>
    <w:rsid w:val="00534938"/>
    <w:rsid w:val="005354E4"/>
    <w:rsid w:val="005370B4"/>
    <w:rsid w:val="005412B0"/>
    <w:rsid w:val="00543F98"/>
    <w:rsid w:val="0054444E"/>
    <w:rsid w:val="00551C73"/>
    <w:rsid w:val="00560444"/>
    <w:rsid w:val="005670DA"/>
    <w:rsid w:val="00567BDE"/>
    <w:rsid w:val="005762CB"/>
    <w:rsid w:val="00577300"/>
    <w:rsid w:val="005807BB"/>
    <w:rsid w:val="00581648"/>
    <w:rsid w:val="00582740"/>
    <w:rsid w:val="005835F3"/>
    <w:rsid w:val="005A2E87"/>
    <w:rsid w:val="005A5267"/>
    <w:rsid w:val="005B2449"/>
    <w:rsid w:val="005C0213"/>
    <w:rsid w:val="005D3556"/>
    <w:rsid w:val="005D49DC"/>
    <w:rsid w:val="005D5EEB"/>
    <w:rsid w:val="005D7C58"/>
    <w:rsid w:val="005E084B"/>
    <w:rsid w:val="005E451B"/>
    <w:rsid w:val="005E5B87"/>
    <w:rsid w:val="005F19C3"/>
    <w:rsid w:val="005F3EB1"/>
    <w:rsid w:val="005F7DEF"/>
    <w:rsid w:val="00603739"/>
    <w:rsid w:val="0060434A"/>
    <w:rsid w:val="0061106D"/>
    <w:rsid w:val="0062176D"/>
    <w:rsid w:val="006257AB"/>
    <w:rsid w:val="006305F1"/>
    <w:rsid w:val="006370F2"/>
    <w:rsid w:val="00642517"/>
    <w:rsid w:val="00642AC8"/>
    <w:rsid w:val="00652304"/>
    <w:rsid w:val="006564C5"/>
    <w:rsid w:val="0066520E"/>
    <w:rsid w:val="00667465"/>
    <w:rsid w:val="00673C4D"/>
    <w:rsid w:val="00675B81"/>
    <w:rsid w:val="00680022"/>
    <w:rsid w:val="0069494C"/>
    <w:rsid w:val="00694C6D"/>
    <w:rsid w:val="006B7BF0"/>
    <w:rsid w:val="006C034A"/>
    <w:rsid w:val="006C0477"/>
    <w:rsid w:val="006C4878"/>
    <w:rsid w:val="006C4930"/>
    <w:rsid w:val="006D787A"/>
    <w:rsid w:val="006E0AE6"/>
    <w:rsid w:val="006E14B7"/>
    <w:rsid w:val="00704A86"/>
    <w:rsid w:val="007074E5"/>
    <w:rsid w:val="00713C69"/>
    <w:rsid w:val="007169CB"/>
    <w:rsid w:val="007318D1"/>
    <w:rsid w:val="007356A4"/>
    <w:rsid w:val="00736F71"/>
    <w:rsid w:val="0074010D"/>
    <w:rsid w:val="00742D1B"/>
    <w:rsid w:val="007460C5"/>
    <w:rsid w:val="0076184D"/>
    <w:rsid w:val="007621D9"/>
    <w:rsid w:val="00764D05"/>
    <w:rsid w:val="00780B90"/>
    <w:rsid w:val="00784F6D"/>
    <w:rsid w:val="007911FB"/>
    <w:rsid w:val="00793AB8"/>
    <w:rsid w:val="007A0921"/>
    <w:rsid w:val="007A0A44"/>
    <w:rsid w:val="007A457A"/>
    <w:rsid w:val="007A6EF1"/>
    <w:rsid w:val="007B73A1"/>
    <w:rsid w:val="007C0605"/>
    <w:rsid w:val="007C3B8A"/>
    <w:rsid w:val="007C3D54"/>
    <w:rsid w:val="007C4346"/>
    <w:rsid w:val="007C727D"/>
    <w:rsid w:val="007D1175"/>
    <w:rsid w:val="007D1AD0"/>
    <w:rsid w:val="007D655D"/>
    <w:rsid w:val="007E41A5"/>
    <w:rsid w:val="007E78BB"/>
    <w:rsid w:val="007F3C26"/>
    <w:rsid w:val="0080445E"/>
    <w:rsid w:val="00813B65"/>
    <w:rsid w:val="008157D2"/>
    <w:rsid w:val="008250B7"/>
    <w:rsid w:val="00835108"/>
    <w:rsid w:val="00835910"/>
    <w:rsid w:val="0084158C"/>
    <w:rsid w:val="00843F51"/>
    <w:rsid w:val="0084407B"/>
    <w:rsid w:val="00853504"/>
    <w:rsid w:val="00855221"/>
    <w:rsid w:val="0085566E"/>
    <w:rsid w:val="00862551"/>
    <w:rsid w:val="00863398"/>
    <w:rsid w:val="00864E99"/>
    <w:rsid w:val="00875D45"/>
    <w:rsid w:val="00884971"/>
    <w:rsid w:val="00891035"/>
    <w:rsid w:val="00894995"/>
    <w:rsid w:val="008A281F"/>
    <w:rsid w:val="008A307C"/>
    <w:rsid w:val="008A4576"/>
    <w:rsid w:val="008A54D2"/>
    <w:rsid w:val="008A7A1B"/>
    <w:rsid w:val="008B56C8"/>
    <w:rsid w:val="008B772D"/>
    <w:rsid w:val="008C5CFB"/>
    <w:rsid w:val="008C7D13"/>
    <w:rsid w:val="008D0F24"/>
    <w:rsid w:val="008E0602"/>
    <w:rsid w:val="008F2E4A"/>
    <w:rsid w:val="008F39D4"/>
    <w:rsid w:val="00903065"/>
    <w:rsid w:val="00904055"/>
    <w:rsid w:val="00911BB5"/>
    <w:rsid w:val="009143B3"/>
    <w:rsid w:val="0091754A"/>
    <w:rsid w:val="00917868"/>
    <w:rsid w:val="00922F92"/>
    <w:rsid w:val="00935840"/>
    <w:rsid w:val="009364BC"/>
    <w:rsid w:val="009458DC"/>
    <w:rsid w:val="00962C4B"/>
    <w:rsid w:val="00972A4E"/>
    <w:rsid w:val="009913D8"/>
    <w:rsid w:val="009A01F2"/>
    <w:rsid w:val="009A3389"/>
    <w:rsid w:val="009A3DF7"/>
    <w:rsid w:val="009B04E6"/>
    <w:rsid w:val="009B07D4"/>
    <w:rsid w:val="009B0E87"/>
    <w:rsid w:val="009B20CD"/>
    <w:rsid w:val="009B35BF"/>
    <w:rsid w:val="009B4989"/>
    <w:rsid w:val="009B5AB9"/>
    <w:rsid w:val="009B77F5"/>
    <w:rsid w:val="009C4B5F"/>
    <w:rsid w:val="009C5F13"/>
    <w:rsid w:val="009C7204"/>
    <w:rsid w:val="009D1FDE"/>
    <w:rsid w:val="009D3E62"/>
    <w:rsid w:val="009D7954"/>
    <w:rsid w:val="009E099E"/>
    <w:rsid w:val="009E0ADB"/>
    <w:rsid w:val="009E637B"/>
    <w:rsid w:val="009E7055"/>
    <w:rsid w:val="009F176A"/>
    <w:rsid w:val="009F7156"/>
    <w:rsid w:val="00A011C0"/>
    <w:rsid w:val="00A04D38"/>
    <w:rsid w:val="00A2194D"/>
    <w:rsid w:val="00A21FA4"/>
    <w:rsid w:val="00A32A6E"/>
    <w:rsid w:val="00A456BA"/>
    <w:rsid w:val="00A45F52"/>
    <w:rsid w:val="00A464AA"/>
    <w:rsid w:val="00A501B0"/>
    <w:rsid w:val="00A57C35"/>
    <w:rsid w:val="00A61C63"/>
    <w:rsid w:val="00A676DE"/>
    <w:rsid w:val="00A808C4"/>
    <w:rsid w:val="00A836F7"/>
    <w:rsid w:val="00A848E7"/>
    <w:rsid w:val="00AA0EC0"/>
    <w:rsid w:val="00AA640D"/>
    <w:rsid w:val="00AC10C2"/>
    <w:rsid w:val="00AC2D93"/>
    <w:rsid w:val="00AC7B0F"/>
    <w:rsid w:val="00AD462E"/>
    <w:rsid w:val="00AD6C95"/>
    <w:rsid w:val="00AE0EA0"/>
    <w:rsid w:val="00AE34E9"/>
    <w:rsid w:val="00AE36DD"/>
    <w:rsid w:val="00AE5989"/>
    <w:rsid w:val="00AE6187"/>
    <w:rsid w:val="00AE61C0"/>
    <w:rsid w:val="00B07F03"/>
    <w:rsid w:val="00B13A01"/>
    <w:rsid w:val="00B14FFD"/>
    <w:rsid w:val="00B42228"/>
    <w:rsid w:val="00B43AE2"/>
    <w:rsid w:val="00B7063A"/>
    <w:rsid w:val="00B70CC5"/>
    <w:rsid w:val="00B76C8B"/>
    <w:rsid w:val="00B8086C"/>
    <w:rsid w:val="00B82632"/>
    <w:rsid w:val="00B82BC6"/>
    <w:rsid w:val="00B8318E"/>
    <w:rsid w:val="00B90724"/>
    <w:rsid w:val="00BA06FE"/>
    <w:rsid w:val="00BA366B"/>
    <w:rsid w:val="00BA3A93"/>
    <w:rsid w:val="00BB6E57"/>
    <w:rsid w:val="00BC0A9E"/>
    <w:rsid w:val="00BC4C6D"/>
    <w:rsid w:val="00BD1E25"/>
    <w:rsid w:val="00BD36EE"/>
    <w:rsid w:val="00BE441C"/>
    <w:rsid w:val="00BE6AAD"/>
    <w:rsid w:val="00BF0825"/>
    <w:rsid w:val="00BF0E02"/>
    <w:rsid w:val="00BF5D0C"/>
    <w:rsid w:val="00BF5F80"/>
    <w:rsid w:val="00C003BF"/>
    <w:rsid w:val="00C078D7"/>
    <w:rsid w:val="00C10808"/>
    <w:rsid w:val="00C10A02"/>
    <w:rsid w:val="00C12152"/>
    <w:rsid w:val="00C12DE3"/>
    <w:rsid w:val="00C249B0"/>
    <w:rsid w:val="00C25EFA"/>
    <w:rsid w:val="00C33B41"/>
    <w:rsid w:val="00C37CFC"/>
    <w:rsid w:val="00C453AE"/>
    <w:rsid w:val="00C60E42"/>
    <w:rsid w:val="00C62D82"/>
    <w:rsid w:val="00C6635D"/>
    <w:rsid w:val="00C9DCE6"/>
    <w:rsid w:val="00CA02E8"/>
    <w:rsid w:val="00CA4F8B"/>
    <w:rsid w:val="00CB6BDC"/>
    <w:rsid w:val="00CB7ADA"/>
    <w:rsid w:val="00CD21D4"/>
    <w:rsid w:val="00CE0CE4"/>
    <w:rsid w:val="00CE4743"/>
    <w:rsid w:val="00CE4EEF"/>
    <w:rsid w:val="00D0375E"/>
    <w:rsid w:val="00D070DF"/>
    <w:rsid w:val="00D1002B"/>
    <w:rsid w:val="00D12B74"/>
    <w:rsid w:val="00D22B7E"/>
    <w:rsid w:val="00D24C5C"/>
    <w:rsid w:val="00D31D14"/>
    <w:rsid w:val="00D32460"/>
    <w:rsid w:val="00D43E2F"/>
    <w:rsid w:val="00D66BD3"/>
    <w:rsid w:val="00D67A8A"/>
    <w:rsid w:val="00D76831"/>
    <w:rsid w:val="00D92B85"/>
    <w:rsid w:val="00D94A7F"/>
    <w:rsid w:val="00DB5CD9"/>
    <w:rsid w:val="00DC068E"/>
    <w:rsid w:val="00DC07C1"/>
    <w:rsid w:val="00DC244A"/>
    <w:rsid w:val="00DC3CEF"/>
    <w:rsid w:val="00DD2ED9"/>
    <w:rsid w:val="00DE0320"/>
    <w:rsid w:val="00DE1943"/>
    <w:rsid w:val="00DE5386"/>
    <w:rsid w:val="00DE6B4F"/>
    <w:rsid w:val="00DF1B84"/>
    <w:rsid w:val="00DF1CE0"/>
    <w:rsid w:val="00DF280F"/>
    <w:rsid w:val="00DF2E19"/>
    <w:rsid w:val="00DF33EB"/>
    <w:rsid w:val="00DF57DB"/>
    <w:rsid w:val="00E04ABA"/>
    <w:rsid w:val="00E06698"/>
    <w:rsid w:val="00E11918"/>
    <w:rsid w:val="00E13BFB"/>
    <w:rsid w:val="00E16BB7"/>
    <w:rsid w:val="00E21A48"/>
    <w:rsid w:val="00E238FB"/>
    <w:rsid w:val="00E241D3"/>
    <w:rsid w:val="00E26873"/>
    <w:rsid w:val="00E30985"/>
    <w:rsid w:val="00E34F6F"/>
    <w:rsid w:val="00E357CB"/>
    <w:rsid w:val="00E35B02"/>
    <w:rsid w:val="00E35D09"/>
    <w:rsid w:val="00E35DCE"/>
    <w:rsid w:val="00E4350B"/>
    <w:rsid w:val="00E43DB4"/>
    <w:rsid w:val="00E449AA"/>
    <w:rsid w:val="00E51880"/>
    <w:rsid w:val="00E613CA"/>
    <w:rsid w:val="00E663F3"/>
    <w:rsid w:val="00E71949"/>
    <w:rsid w:val="00E82C10"/>
    <w:rsid w:val="00E862DD"/>
    <w:rsid w:val="00E937D0"/>
    <w:rsid w:val="00E97480"/>
    <w:rsid w:val="00EA19B5"/>
    <w:rsid w:val="00EB325B"/>
    <w:rsid w:val="00EB575A"/>
    <w:rsid w:val="00EB71B2"/>
    <w:rsid w:val="00EC5296"/>
    <w:rsid w:val="00EC6E2E"/>
    <w:rsid w:val="00EC6ED5"/>
    <w:rsid w:val="00ED2A59"/>
    <w:rsid w:val="00EE3ED4"/>
    <w:rsid w:val="00EE52F5"/>
    <w:rsid w:val="00EE620D"/>
    <w:rsid w:val="00EF0E41"/>
    <w:rsid w:val="00EF2D22"/>
    <w:rsid w:val="00F21506"/>
    <w:rsid w:val="00F2648F"/>
    <w:rsid w:val="00F27BD9"/>
    <w:rsid w:val="00F3588C"/>
    <w:rsid w:val="00F36CE3"/>
    <w:rsid w:val="00F464F6"/>
    <w:rsid w:val="00F47769"/>
    <w:rsid w:val="00F51251"/>
    <w:rsid w:val="00F51541"/>
    <w:rsid w:val="00F57BB9"/>
    <w:rsid w:val="00F619C8"/>
    <w:rsid w:val="00F732AE"/>
    <w:rsid w:val="00F73646"/>
    <w:rsid w:val="00F80A5B"/>
    <w:rsid w:val="00F81C3D"/>
    <w:rsid w:val="00F93F88"/>
    <w:rsid w:val="00FA1605"/>
    <w:rsid w:val="00FA5B97"/>
    <w:rsid w:val="00FC2E52"/>
    <w:rsid w:val="00FD06BD"/>
    <w:rsid w:val="00FD2793"/>
    <w:rsid w:val="00FD5F62"/>
    <w:rsid w:val="00FD6C85"/>
    <w:rsid w:val="00FD7532"/>
    <w:rsid w:val="00FE05DD"/>
    <w:rsid w:val="00FE7F78"/>
    <w:rsid w:val="00FE7FBB"/>
    <w:rsid w:val="00FF5113"/>
    <w:rsid w:val="013B83A8"/>
    <w:rsid w:val="0145FAE0"/>
    <w:rsid w:val="01494037"/>
    <w:rsid w:val="0179EDC5"/>
    <w:rsid w:val="0190AA8B"/>
    <w:rsid w:val="019D1C0E"/>
    <w:rsid w:val="01B8183B"/>
    <w:rsid w:val="025E5AD3"/>
    <w:rsid w:val="026B7617"/>
    <w:rsid w:val="02701DB7"/>
    <w:rsid w:val="027C7FC7"/>
    <w:rsid w:val="02C98E42"/>
    <w:rsid w:val="02CB1D89"/>
    <w:rsid w:val="02CC1FF3"/>
    <w:rsid w:val="02E1C2DE"/>
    <w:rsid w:val="030F4833"/>
    <w:rsid w:val="03111CAD"/>
    <w:rsid w:val="034F0F30"/>
    <w:rsid w:val="0383363E"/>
    <w:rsid w:val="0385174F"/>
    <w:rsid w:val="038C181D"/>
    <w:rsid w:val="03C7EDD0"/>
    <w:rsid w:val="03C8DA03"/>
    <w:rsid w:val="040006D3"/>
    <w:rsid w:val="04112A95"/>
    <w:rsid w:val="041C41AE"/>
    <w:rsid w:val="045F61C2"/>
    <w:rsid w:val="0486E6AF"/>
    <w:rsid w:val="049F700F"/>
    <w:rsid w:val="04E10D61"/>
    <w:rsid w:val="04EAA118"/>
    <w:rsid w:val="052B1AB6"/>
    <w:rsid w:val="0560A63A"/>
    <w:rsid w:val="0569D0E2"/>
    <w:rsid w:val="0579659E"/>
    <w:rsid w:val="0581BBBA"/>
    <w:rsid w:val="058E6B84"/>
    <w:rsid w:val="059F74B2"/>
    <w:rsid w:val="05EDDF64"/>
    <w:rsid w:val="05EE2C45"/>
    <w:rsid w:val="060CC4BC"/>
    <w:rsid w:val="06185E6E"/>
    <w:rsid w:val="06376C6F"/>
    <w:rsid w:val="063BE8B6"/>
    <w:rsid w:val="0658ED6B"/>
    <w:rsid w:val="066D9A9A"/>
    <w:rsid w:val="06956E1F"/>
    <w:rsid w:val="06A36D52"/>
    <w:rsid w:val="06E08A1B"/>
    <w:rsid w:val="06ECC127"/>
    <w:rsid w:val="06F1E12A"/>
    <w:rsid w:val="07172341"/>
    <w:rsid w:val="07BCE9B9"/>
    <w:rsid w:val="07F18D09"/>
    <w:rsid w:val="07F264C2"/>
    <w:rsid w:val="083E0543"/>
    <w:rsid w:val="08538D3C"/>
    <w:rsid w:val="0865EC67"/>
    <w:rsid w:val="087BDAFA"/>
    <w:rsid w:val="08929BAD"/>
    <w:rsid w:val="08BEE77F"/>
    <w:rsid w:val="08C3F6E5"/>
    <w:rsid w:val="08E75955"/>
    <w:rsid w:val="09223D1E"/>
    <w:rsid w:val="093DA1A5"/>
    <w:rsid w:val="098259F3"/>
    <w:rsid w:val="0983493A"/>
    <w:rsid w:val="09BC2020"/>
    <w:rsid w:val="09CA8967"/>
    <w:rsid w:val="09E07004"/>
    <w:rsid w:val="09F0E918"/>
    <w:rsid w:val="09F4C5DD"/>
    <w:rsid w:val="0A23398D"/>
    <w:rsid w:val="0A4C54BE"/>
    <w:rsid w:val="0A7148F5"/>
    <w:rsid w:val="0A8EAB13"/>
    <w:rsid w:val="0AE3FB99"/>
    <w:rsid w:val="0B043405"/>
    <w:rsid w:val="0B7516BC"/>
    <w:rsid w:val="0BA1A1CE"/>
    <w:rsid w:val="0BBD7D35"/>
    <w:rsid w:val="0BC0D789"/>
    <w:rsid w:val="0BD184C5"/>
    <w:rsid w:val="0BEFE4A2"/>
    <w:rsid w:val="0C07BB34"/>
    <w:rsid w:val="0CA1AA85"/>
    <w:rsid w:val="0CA8EC22"/>
    <w:rsid w:val="0CDD24EE"/>
    <w:rsid w:val="0D0E62F0"/>
    <w:rsid w:val="0D0FC162"/>
    <w:rsid w:val="0D2197BD"/>
    <w:rsid w:val="0D3FD2DC"/>
    <w:rsid w:val="0D4DA00F"/>
    <w:rsid w:val="0DB27022"/>
    <w:rsid w:val="0DBC08A9"/>
    <w:rsid w:val="0DE4D064"/>
    <w:rsid w:val="0E1720F3"/>
    <w:rsid w:val="0E25F37D"/>
    <w:rsid w:val="0E464D9B"/>
    <w:rsid w:val="0E985535"/>
    <w:rsid w:val="0F030C1E"/>
    <w:rsid w:val="0F1D92F1"/>
    <w:rsid w:val="0F213374"/>
    <w:rsid w:val="0F2E35E5"/>
    <w:rsid w:val="0F3248E5"/>
    <w:rsid w:val="0F3DD500"/>
    <w:rsid w:val="0F6D8D53"/>
    <w:rsid w:val="0F83C864"/>
    <w:rsid w:val="0FAEFA28"/>
    <w:rsid w:val="0FBAE365"/>
    <w:rsid w:val="0FF2A42A"/>
    <w:rsid w:val="0FF598C5"/>
    <w:rsid w:val="1034EC28"/>
    <w:rsid w:val="10589F2E"/>
    <w:rsid w:val="108D10FD"/>
    <w:rsid w:val="10D6808A"/>
    <w:rsid w:val="10FC3A4D"/>
    <w:rsid w:val="111628D9"/>
    <w:rsid w:val="1119B28E"/>
    <w:rsid w:val="1120CBA0"/>
    <w:rsid w:val="11268E2C"/>
    <w:rsid w:val="112ADE42"/>
    <w:rsid w:val="113C4C1C"/>
    <w:rsid w:val="114AC792"/>
    <w:rsid w:val="11FFC7B2"/>
    <w:rsid w:val="120BECF4"/>
    <w:rsid w:val="12274EFF"/>
    <w:rsid w:val="125BDCB1"/>
    <w:rsid w:val="1269A54F"/>
    <w:rsid w:val="1294409F"/>
    <w:rsid w:val="129BC8A9"/>
    <w:rsid w:val="12B51F9B"/>
    <w:rsid w:val="12D755E1"/>
    <w:rsid w:val="130C693E"/>
    <w:rsid w:val="131F9C2F"/>
    <w:rsid w:val="132739BD"/>
    <w:rsid w:val="1370C5CD"/>
    <w:rsid w:val="138C2EE7"/>
    <w:rsid w:val="13AD2104"/>
    <w:rsid w:val="13CD17D5"/>
    <w:rsid w:val="145FBB21"/>
    <w:rsid w:val="14709ABF"/>
    <w:rsid w:val="1480DD8F"/>
    <w:rsid w:val="148CEB0E"/>
    <w:rsid w:val="14B3625A"/>
    <w:rsid w:val="14C91D0C"/>
    <w:rsid w:val="14FDCAB2"/>
    <w:rsid w:val="150FFB5E"/>
    <w:rsid w:val="15150220"/>
    <w:rsid w:val="151E2688"/>
    <w:rsid w:val="1533141A"/>
    <w:rsid w:val="1568A881"/>
    <w:rsid w:val="15A93AF1"/>
    <w:rsid w:val="15EE9824"/>
    <w:rsid w:val="15FF1752"/>
    <w:rsid w:val="1629C8D3"/>
    <w:rsid w:val="167D0B6B"/>
    <w:rsid w:val="169C911E"/>
    <w:rsid w:val="16A6640F"/>
    <w:rsid w:val="16C607A5"/>
    <w:rsid w:val="16D3BF2B"/>
    <w:rsid w:val="16DA3F13"/>
    <w:rsid w:val="16DD8B47"/>
    <w:rsid w:val="16DE25AB"/>
    <w:rsid w:val="16F4C945"/>
    <w:rsid w:val="17000752"/>
    <w:rsid w:val="171C50C2"/>
    <w:rsid w:val="173B57A2"/>
    <w:rsid w:val="17608758"/>
    <w:rsid w:val="17701FB8"/>
    <w:rsid w:val="17878E53"/>
    <w:rsid w:val="18046968"/>
    <w:rsid w:val="180AE1B3"/>
    <w:rsid w:val="185AAB01"/>
    <w:rsid w:val="187A5381"/>
    <w:rsid w:val="187A6C5B"/>
    <w:rsid w:val="18C11E99"/>
    <w:rsid w:val="18C713D6"/>
    <w:rsid w:val="18D526D3"/>
    <w:rsid w:val="18DFCAE7"/>
    <w:rsid w:val="18F4ED88"/>
    <w:rsid w:val="18FFD853"/>
    <w:rsid w:val="1912696C"/>
    <w:rsid w:val="19271085"/>
    <w:rsid w:val="197902A3"/>
    <w:rsid w:val="19A4FE87"/>
    <w:rsid w:val="19EFA2BA"/>
    <w:rsid w:val="19FF6D56"/>
    <w:rsid w:val="1A1065DA"/>
    <w:rsid w:val="1A1B2344"/>
    <w:rsid w:val="1A396C5A"/>
    <w:rsid w:val="1A3ECAB1"/>
    <w:rsid w:val="1AC3A051"/>
    <w:rsid w:val="1AD7EBE8"/>
    <w:rsid w:val="1B4236FB"/>
    <w:rsid w:val="1B4CAF3B"/>
    <w:rsid w:val="1B7A0529"/>
    <w:rsid w:val="1BE8B90D"/>
    <w:rsid w:val="1C007899"/>
    <w:rsid w:val="1C0B7CF7"/>
    <w:rsid w:val="1C2B2D7A"/>
    <w:rsid w:val="1C4E3C8B"/>
    <w:rsid w:val="1C50DF57"/>
    <w:rsid w:val="1C66210C"/>
    <w:rsid w:val="1CAD5B89"/>
    <w:rsid w:val="1CB357BF"/>
    <w:rsid w:val="1CC8D33E"/>
    <w:rsid w:val="1CE3F50D"/>
    <w:rsid w:val="1D0BE5F1"/>
    <w:rsid w:val="1D2B3BD1"/>
    <w:rsid w:val="1D49BAB8"/>
    <w:rsid w:val="1D8099A5"/>
    <w:rsid w:val="1E0A3A5F"/>
    <w:rsid w:val="1E1532B6"/>
    <w:rsid w:val="1E2AB0B1"/>
    <w:rsid w:val="1E9593E0"/>
    <w:rsid w:val="1EA58063"/>
    <w:rsid w:val="1EA89366"/>
    <w:rsid w:val="1ED0E882"/>
    <w:rsid w:val="1EE2C88F"/>
    <w:rsid w:val="1EEECFB1"/>
    <w:rsid w:val="1F539A53"/>
    <w:rsid w:val="1FDCDB09"/>
    <w:rsid w:val="208E2DE5"/>
    <w:rsid w:val="20D12E14"/>
    <w:rsid w:val="20EA352F"/>
    <w:rsid w:val="21307031"/>
    <w:rsid w:val="21747E28"/>
    <w:rsid w:val="2179CB91"/>
    <w:rsid w:val="221F3C16"/>
    <w:rsid w:val="2235F890"/>
    <w:rsid w:val="223E2AF2"/>
    <w:rsid w:val="2248AF8F"/>
    <w:rsid w:val="2252E56C"/>
    <w:rsid w:val="22C16BF8"/>
    <w:rsid w:val="2342CF22"/>
    <w:rsid w:val="2346EA65"/>
    <w:rsid w:val="234CBBE4"/>
    <w:rsid w:val="236146E9"/>
    <w:rsid w:val="236A47A7"/>
    <w:rsid w:val="23C73678"/>
    <w:rsid w:val="247FE31A"/>
    <w:rsid w:val="2489CBBA"/>
    <w:rsid w:val="24C07F82"/>
    <w:rsid w:val="253258F2"/>
    <w:rsid w:val="253BF9F6"/>
    <w:rsid w:val="25846576"/>
    <w:rsid w:val="258AA471"/>
    <w:rsid w:val="258E660C"/>
    <w:rsid w:val="259131FA"/>
    <w:rsid w:val="25BE1EBC"/>
    <w:rsid w:val="25CC9110"/>
    <w:rsid w:val="25D8D2D3"/>
    <w:rsid w:val="265BCF6C"/>
    <w:rsid w:val="268FBB5E"/>
    <w:rsid w:val="269C1F4D"/>
    <w:rsid w:val="26A682FB"/>
    <w:rsid w:val="26C2B81B"/>
    <w:rsid w:val="26E673BE"/>
    <w:rsid w:val="26F08889"/>
    <w:rsid w:val="26FDD98E"/>
    <w:rsid w:val="270262F8"/>
    <w:rsid w:val="27280836"/>
    <w:rsid w:val="272FB014"/>
    <w:rsid w:val="275F9031"/>
    <w:rsid w:val="2769E3CB"/>
    <w:rsid w:val="276BD8FE"/>
    <w:rsid w:val="27801A38"/>
    <w:rsid w:val="27A476B5"/>
    <w:rsid w:val="27AABAA5"/>
    <w:rsid w:val="27B3A8D1"/>
    <w:rsid w:val="27B9CA62"/>
    <w:rsid w:val="27C04412"/>
    <w:rsid w:val="27FE4BC4"/>
    <w:rsid w:val="281AAE28"/>
    <w:rsid w:val="28906360"/>
    <w:rsid w:val="289457EC"/>
    <w:rsid w:val="28E44084"/>
    <w:rsid w:val="28F7B932"/>
    <w:rsid w:val="29046A33"/>
    <w:rsid w:val="295FF2A6"/>
    <w:rsid w:val="2999F8CB"/>
    <w:rsid w:val="29C2F9B8"/>
    <w:rsid w:val="29D06183"/>
    <w:rsid w:val="29D3FEC3"/>
    <w:rsid w:val="29DE660E"/>
    <w:rsid w:val="29E02024"/>
    <w:rsid w:val="2A595377"/>
    <w:rsid w:val="2A6216EB"/>
    <w:rsid w:val="2AE012E3"/>
    <w:rsid w:val="2B0788C9"/>
    <w:rsid w:val="2B13A210"/>
    <w:rsid w:val="2B17D021"/>
    <w:rsid w:val="2B64FF4F"/>
    <w:rsid w:val="2BA724E0"/>
    <w:rsid w:val="2BDF579F"/>
    <w:rsid w:val="2BE025D5"/>
    <w:rsid w:val="2C30B513"/>
    <w:rsid w:val="2CA7776E"/>
    <w:rsid w:val="2CBDD58D"/>
    <w:rsid w:val="2CFCC93E"/>
    <w:rsid w:val="2D03871F"/>
    <w:rsid w:val="2D11D011"/>
    <w:rsid w:val="2D2591E3"/>
    <w:rsid w:val="2D8843B7"/>
    <w:rsid w:val="2D94778E"/>
    <w:rsid w:val="2DAD1E65"/>
    <w:rsid w:val="2DE234F2"/>
    <w:rsid w:val="2E4EF3D8"/>
    <w:rsid w:val="2E6B11A0"/>
    <w:rsid w:val="2E72A0BE"/>
    <w:rsid w:val="2EA16522"/>
    <w:rsid w:val="2EF2F3DE"/>
    <w:rsid w:val="2F27073C"/>
    <w:rsid w:val="2F4CA2D1"/>
    <w:rsid w:val="2FAC01ED"/>
    <w:rsid w:val="305209C5"/>
    <w:rsid w:val="305468A9"/>
    <w:rsid w:val="3066D3A5"/>
    <w:rsid w:val="308087BC"/>
    <w:rsid w:val="30925739"/>
    <w:rsid w:val="30CE4EC6"/>
    <w:rsid w:val="30D005DC"/>
    <w:rsid w:val="3124AB73"/>
    <w:rsid w:val="31583C4A"/>
    <w:rsid w:val="31766CC3"/>
    <w:rsid w:val="31862B44"/>
    <w:rsid w:val="31C1ADD8"/>
    <w:rsid w:val="31ED2B54"/>
    <w:rsid w:val="3215EE1C"/>
    <w:rsid w:val="324F924D"/>
    <w:rsid w:val="32616711"/>
    <w:rsid w:val="326EA1F3"/>
    <w:rsid w:val="3284D0CB"/>
    <w:rsid w:val="3296DA74"/>
    <w:rsid w:val="32CF5596"/>
    <w:rsid w:val="3309BA43"/>
    <w:rsid w:val="33413F4E"/>
    <w:rsid w:val="3344F678"/>
    <w:rsid w:val="338B9DFC"/>
    <w:rsid w:val="33AEEC88"/>
    <w:rsid w:val="33F3D04A"/>
    <w:rsid w:val="33F475AC"/>
    <w:rsid w:val="34253F7F"/>
    <w:rsid w:val="348B067F"/>
    <w:rsid w:val="348D4629"/>
    <w:rsid w:val="349EFE6D"/>
    <w:rsid w:val="34E6B5BF"/>
    <w:rsid w:val="3534EBE6"/>
    <w:rsid w:val="35BD0857"/>
    <w:rsid w:val="35EBD519"/>
    <w:rsid w:val="361B5FBA"/>
    <w:rsid w:val="363313F7"/>
    <w:rsid w:val="3656B03E"/>
    <w:rsid w:val="367B9844"/>
    <w:rsid w:val="36AB11A3"/>
    <w:rsid w:val="36B57712"/>
    <w:rsid w:val="36F004CD"/>
    <w:rsid w:val="371B87B2"/>
    <w:rsid w:val="372BCA4D"/>
    <w:rsid w:val="3738D5EC"/>
    <w:rsid w:val="3775DFE2"/>
    <w:rsid w:val="37C02410"/>
    <w:rsid w:val="37C280BE"/>
    <w:rsid w:val="3805513F"/>
    <w:rsid w:val="381ADC9D"/>
    <w:rsid w:val="38423001"/>
    <w:rsid w:val="388B7687"/>
    <w:rsid w:val="38AF5809"/>
    <w:rsid w:val="38B2AF16"/>
    <w:rsid w:val="38BA21A6"/>
    <w:rsid w:val="38CB42DE"/>
    <w:rsid w:val="38CCF623"/>
    <w:rsid w:val="38DD23BF"/>
    <w:rsid w:val="38F2D66E"/>
    <w:rsid w:val="3919E62D"/>
    <w:rsid w:val="392762BB"/>
    <w:rsid w:val="39563E9A"/>
    <w:rsid w:val="39A29066"/>
    <w:rsid w:val="39ABAA04"/>
    <w:rsid w:val="39C0ECC1"/>
    <w:rsid w:val="39CC6ADA"/>
    <w:rsid w:val="39EBDCF3"/>
    <w:rsid w:val="39EEE0B1"/>
    <w:rsid w:val="3A443355"/>
    <w:rsid w:val="3A6D54D5"/>
    <w:rsid w:val="3AAB3741"/>
    <w:rsid w:val="3ACFDD42"/>
    <w:rsid w:val="3AD47295"/>
    <w:rsid w:val="3AF83224"/>
    <w:rsid w:val="3B10D200"/>
    <w:rsid w:val="3B8A4177"/>
    <w:rsid w:val="3BBC431B"/>
    <w:rsid w:val="3BCD49FD"/>
    <w:rsid w:val="3BD06AE1"/>
    <w:rsid w:val="3BE2EF84"/>
    <w:rsid w:val="3BEE890A"/>
    <w:rsid w:val="3BFB258A"/>
    <w:rsid w:val="3C081419"/>
    <w:rsid w:val="3C0AAB9E"/>
    <w:rsid w:val="3D2336A0"/>
    <w:rsid w:val="3D2E6267"/>
    <w:rsid w:val="3D357A35"/>
    <w:rsid w:val="3D3EEAE3"/>
    <w:rsid w:val="3D4EF5CD"/>
    <w:rsid w:val="3DC378E7"/>
    <w:rsid w:val="3DCFB1E9"/>
    <w:rsid w:val="3E514668"/>
    <w:rsid w:val="3E64EC72"/>
    <w:rsid w:val="3E717EF2"/>
    <w:rsid w:val="3ED01F91"/>
    <w:rsid w:val="3ED987BA"/>
    <w:rsid w:val="3EE6E645"/>
    <w:rsid w:val="3EE71D7E"/>
    <w:rsid w:val="3EE94CD7"/>
    <w:rsid w:val="3EEE65D1"/>
    <w:rsid w:val="3F2F1D1E"/>
    <w:rsid w:val="3FA36BB0"/>
    <w:rsid w:val="3FA92437"/>
    <w:rsid w:val="40003E4F"/>
    <w:rsid w:val="400985C2"/>
    <w:rsid w:val="4072DDB3"/>
    <w:rsid w:val="40EB156B"/>
    <w:rsid w:val="40EE2C4D"/>
    <w:rsid w:val="41234172"/>
    <w:rsid w:val="41534F7F"/>
    <w:rsid w:val="4161FE2D"/>
    <w:rsid w:val="417B4888"/>
    <w:rsid w:val="42295985"/>
    <w:rsid w:val="4249DC7B"/>
    <w:rsid w:val="4259B015"/>
    <w:rsid w:val="426CF84C"/>
    <w:rsid w:val="42778852"/>
    <w:rsid w:val="427F2CFC"/>
    <w:rsid w:val="428ECF9B"/>
    <w:rsid w:val="42B03DE7"/>
    <w:rsid w:val="42C29C3A"/>
    <w:rsid w:val="42C816BF"/>
    <w:rsid w:val="42D910E1"/>
    <w:rsid w:val="42DB5EA2"/>
    <w:rsid w:val="43388492"/>
    <w:rsid w:val="4351BE92"/>
    <w:rsid w:val="43841A4F"/>
    <w:rsid w:val="438F9E8B"/>
    <w:rsid w:val="43AF38F2"/>
    <w:rsid w:val="43C6ABAD"/>
    <w:rsid w:val="43E473F2"/>
    <w:rsid w:val="43F2C9C0"/>
    <w:rsid w:val="4422EACC"/>
    <w:rsid w:val="442683FB"/>
    <w:rsid w:val="4436216A"/>
    <w:rsid w:val="44A50CAF"/>
    <w:rsid w:val="44BFF821"/>
    <w:rsid w:val="44D06E21"/>
    <w:rsid w:val="44DA64B5"/>
    <w:rsid w:val="45498E00"/>
    <w:rsid w:val="4550EC26"/>
    <w:rsid w:val="45640E44"/>
    <w:rsid w:val="45873D03"/>
    <w:rsid w:val="45EAC2AA"/>
    <w:rsid w:val="46078998"/>
    <w:rsid w:val="460B8321"/>
    <w:rsid w:val="4635B3F9"/>
    <w:rsid w:val="464CDA82"/>
    <w:rsid w:val="46B2F77A"/>
    <w:rsid w:val="470C7B14"/>
    <w:rsid w:val="47547D55"/>
    <w:rsid w:val="477F917C"/>
    <w:rsid w:val="4796AA48"/>
    <w:rsid w:val="47DBE2AE"/>
    <w:rsid w:val="47E69B55"/>
    <w:rsid w:val="48127584"/>
    <w:rsid w:val="48396F07"/>
    <w:rsid w:val="486DA5EA"/>
    <w:rsid w:val="48799956"/>
    <w:rsid w:val="48A80D32"/>
    <w:rsid w:val="48A82918"/>
    <w:rsid w:val="48BF6B78"/>
    <w:rsid w:val="48DC402D"/>
    <w:rsid w:val="48FEB26A"/>
    <w:rsid w:val="4919EC1B"/>
    <w:rsid w:val="492A31ED"/>
    <w:rsid w:val="49380BE0"/>
    <w:rsid w:val="4961DEBB"/>
    <w:rsid w:val="496665C1"/>
    <w:rsid w:val="497B3B8D"/>
    <w:rsid w:val="497D0498"/>
    <w:rsid w:val="4988B889"/>
    <w:rsid w:val="49A5CF8C"/>
    <w:rsid w:val="49B8E171"/>
    <w:rsid w:val="49D51EF3"/>
    <w:rsid w:val="49D88162"/>
    <w:rsid w:val="4A197086"/>
    <w:rsid w:val="4A234128"/>
    <w:rsid w:val="4A73814F"/>
    <w:rsid w:val="4A960CF0"/>
    <w:rsid w:val="4AE1B1B3"/>
    <w:rsid w:val="4AE33537"/>
    <w:rsid w:val="4B0069D0"/>
    <w:rsid w:val="4BA7123C"/>
    <w:rsid w:val="4BB62C3E"/>
    <w:rsid w:val="4BC84191"/>
    <w:rsid w:val="4C053744"/>
    <w:rsid w:val="4C15EC5C"/>
    <w:rsid w:val="4C2EA1D3"/>
    <w:rsid w:val="4C731DFA"/>
    <w:rsid w:val="4C879FBF"/>
    <w:rsid w:val="4C918A48"/>
    <w:rsid w:val="4CCA6940"/>
    <w:rsid w:val="4CD1F889"/>
    <w:rsid w:val="4CF0BD95"/>
    <w:rsid w:val="4D008E5D"/>
    <w:rsid w:val="4D65E0FC"/>
    <w:rsid w:val="4DA1257F"/>
    <w:rsid w:val="4DCE69A4"/>
    <w:rsid w:val="4E229F5A"/>
    <w:rsid w:val="4E3D4083"/>
    <w:rsid w:val="4E430DC7"/>
    <w:rsid w:val="4E7598CC"/>
    <w:rsid w:val="4EAC8F88"/>
    <w:rsid w:val="4EB001E7"/>
    <w:rsid w:val="4EB3CD05"/>
    <w:rsid w:val="4EC685C6"/>
    <w:rsid w:val="4EE80427"/>
    <w:rsid w:val="4EE88304"/>
    <w:rsid w:val="4EFE5E94"/>
    <w:rsid w:val="4F0AB181"/>
    <w:rsid w:val="4F216F22"/>
    <w:rsid w:val="4F530E43"/>
    <w:rsid w:val="4F9FEA06"/>
    <w:rsid w:val="4FA31875"/>
    <w:rsid w:val="4FE3FF0E"/>
    <w:rsid w:val="5013E04A"/>
    <w:rsid w:val="506E6AD0"/>
    <w:rsid w:val="50A0EFF4"/>
    <w:rsid w:val="50C41BDB"/>
    <w:rsid w:val="50D44B86"/>
    <w:rsid w:val="5155BB15"/>
    <w:rsid w:val="51669E9A"/>
    <w:rsid w:val="51834F30"/>
    <w:rsid w:val="51AE4D54"/>
    <w:rsid w:val="520DA96F"/>
    <w:rsid w:val="523669B6"/>
    <w:rsid w:val="52441995"/>
    <w:rsid w:val="525BA46D"/>
    <w:rsid w:val="527F36BE"/>
    <w:rsid w:val="52C181E3"/>
    <w:rsid w:val="52E2661C"/>
    <w:rsid w:val="53005B22"/>
    <w:rsid w:val="53005EBA"/>
    <w:rsid w:val="531B038A"/>
    <w:rsid w:val="5377198F"/>
    <w:rsid w:val="537CC268"/>
    <w:rsid w:val="5391EAC6"/>
    <w:rsid w:val="539A2BB1"/>
    <w:rsid w:val="53DCD95C"/>
    <w:rsid w:val="53FA3E5B"/>
    <w:rsid w:val="54060C0C"/>
    <w:rsid w:val="540B05B2"/>
    <w:rsid w:val="54505F09"/>
    <w:rsid w:val="545C2B31"/>
    <w:rsid w:val="5473FD18"/>
    <w:rsid w:val="549E0FAF"/>
    <w:rsid w:val="54AFF5C6"/>
    <w:rsid w:val="54CFE1A3"/>
    <w:rsid w:val="54F5A09A"/>
    <w:rsid w:val="551AB98F"/>
    <w:rsid w:val="5581C64E"/>
    <w:rsid w:val="5588A2C6"/>
    <w:rsid w:val="55A3FFA4"/>
    <w:rsid w:val="55E3CE28"/>
    <w:rsid w:val="564872C1"/>
    <w:rsid w:val="566D62B0"/>
    <w:rsid w:val="56777569"/>
    <w:rsid w:val="5690CA2E"/>
    <w:rsid w:val="569C5291"/>
    <w:rsid w:val="56AE5D40"/>
    <w:rsid w:val="56C29E78"/>
    <w:rsid w:val="56F68278"/>
    <w:rsid w:val="5738DB5E"/>
    <w:rsid w:val="57845A8D"/>
    <w:rsid w:val="579A0FAF"/>
    <w:rsid w:val="57AEA754"/>
    <w:rsid w:val="57C4A497"/>
    <w:rsid w:val="57D05787"/>
    <w:rsid w:val="57D57A64"/>
    <w:rsid w:val="57E4AC47"/>
    <w:rsid w:val="580A972E"/>
    <w:rsid w:val="5811A19A"/>
    <w:rsid w:val="582DAD8F"/>
    <w:rsid w:val="585A3CE8"/>
    <w:rsid w:val="586BD7B4"/>
    <w:rsid w:val="58897424"/>
    <w:rsid w:val="58C1D7B3"/>
    <w:rsid w:val="58C99292"/>
    <w:rsid w:val="590822D8"/>
    <w:rsid w:val="59533BB8"/>
    <w:rsid w:val="596339B7"/>
    <w:rsid w:val="596AD311"/>
    <w:rsid w:val="59AC7ED4"/>
    <w:rsid w:val="59C050D0"/>
    <w:rsid w:val="59EE6215"/>
    <w:rsid w:val="59F8DC0C"/>
    <w:rsid w:val="5A0D0EA7"/>
    <w:rsid w:val="5A15C888"/>
    <w:rsid w:val="5A235B09"/>
    <w:rsid w:val="5A3631E3"/>
    <w:rsid w:val="5A9A0315"/>
    <w:rsid w:val="5AC36594"/>
    <w:rsid w:val="5AC75C3A"/>
    <w:rsid w:val="5AFD9198"/>
    <w:rsid w:val="5B0B541E"/>
    <w:rsid w:val="5B9B6301"/>
    <w:rsid w:val="5BB45B1E"/>
    <w:rsid w:val="5BBA8D37"/>
    <w:rsid w:val="5BC30ABD"/>
    <w:rsid w:val="5C51008A"/>
    <w:rsid w:val="5C58A2AD"/>
    <w:rsid w:val="5C5E6061"/>
    <w:rsid w:val="5C82462B"/>
    <w:rsid w:val="5C8D03C3"/>
    <w:rsid w:val="5C912BB7"/>
    <w:rsid w:val="5CA2CFEB"/>
    <w:rsid w:val="5CC0DE46"/>
    <w:rsid w:val="5CE1E57D"/>
    <w:rsid w:val="5CFA93FE"/>
    <w:rsid w:val="5CFB9927"/>
    <w:rsid w:val="5D263071"/>
    <w:rsid w:val="5D463CB5"/>
    <w:rsid w:val="5D4966AA"/>
    <w:rsid w:val="5DA8F3B4"/>
    <w:rsid w:val="5DBFD2CE"/>
    <w:rsid w:val="5DD8C25E"/>
    <w:rsid w:val="5E0D5639"/>
    <w:rsid w:val="5E25B652"/>
    <w:rsid w:val="5E430F49"/>
    <w:rsid w:val="5E4468BD"/>
    <w:rsid w:val="5E52EE06"/>
    <w:rsid w:val="5E615A65"/>
    <w:rsid w:val="5EA3D43F"/>
    <w:rsid w:val="5EC11D4B"/>
    <w:rsid w:val="5ECC25D8"/>
    <w:rsid w:val="5F0FBBE7"/>
    <w:rsid w:val="5F12B00A"/>
    <w:rsid w:val="5F3D470D"/>
    <w:rsid w:val="5FAC4FE2"/>
    <w:rsid w:val="5FD33337"/>
    <w:rsid w:val="60107690"/>
    <w:rsid w:val="60689B79"/>
    <w:rsid w:val="608B695C"/>
    <w:rsid w:val="60913ED6"/>
    <w:rsid w:val="60AF546F"/>
    <w:rsid w:val="60B869B8"/>
    <w:rsid w:val="60BA0FA2"/>
    <w:rsid w:val="60BE8341"/>
    <w:rsid w:val="60DD3AE9"/>
    <w:rsid w:val="60ECD2BC"/>
    <w:rsid w:val="6114601F"/>
    <w:rsid w:val="6167735C"/>
    <w:rsid w:val="616C5D95"/>
    <w:rsid w:val="61CFB64C"/>
    <w:rsid w:val="61E63FDC"/>
    <w:rsid w:val="61EDF763"/>
    <w:rsid w:val="623A969A"/>
    <w:rsid w:val="626C43EE"/>
    <w:rsid w:val="6276F8B6"/>
    <w:rsid w:val="62B6047B"/>
    <w:rsid w:val="62DD0AF6"/>
    <w:rsid w:val="62E1F7CE"/>
    <w:rsid w:val="62E4AA6F"/>
    <w:rsid w:val="62FC2677"/>
    <w:rsid w:val="6312BF77"/>
    <w:rsid w:val="6325D4D6"/>
    <w:rsid w:val="634BD2E0"/>
    <w:rsid w:val="6362E3BB"/>
    <w:rsid w:val="639F9115"/>
    <w:rsid w:val="63AE709F"/>
    <w:rsid w:val="63D0B8A0"/>
    <w:rsid w:val="63F2E02D"/>
    <w:rsid w:val="64252388"/>
    <w:rsid w:val="6464C0D7"/>
    <w:rsid w:val="646B9968"/>
    <w:rsid w:val="646DCD12"/>
    <w:rsid w:val="64AB5A4E"/>
    <w:rsid w:val="64F0F6F2"/>
    <w:rsid w:val="64FF2684"/>
    <w:rsid w:val="652192D6"/>
    <w:rsid w:val="653C3AAE"/>
    <w:rsid w:val="653F5A0B"/>
    <w:rsid w:val="6542B039"/>
    <w:rsid w:val="656592DC"/>
    <w:rsid w:val="657A61C7"/>
    <w:rsid w:val="65863DF4"/>
    <w:rsid w:val="65D9AE81"/>
    <w:rsid w:val="65DBA0AC"/>
    <w:rsid w:val="662755C0"/>
    <w:rsid w:val="66AF50FA"/>
    <w:rsid w:val="66B78AA0"/>
    <w:rsid w:val="66F51DAA"/>
    <w:rsid w:val="66FD99D3"/>
    <w:rsid w:val="6735F6A2"/>
    <w:rsid w:val="673FBB68"/>
    <w:rsid w:val="6774DD2D"/>
    <w:rsid w:val="67AA04E0"/>
    <w:rsid w:val="67FF831C"/>
    <w:rsid w:val="687FC9B4"/>
    <w:rsid w:val="6892116B"/>
    <w:rsid w:val="68F3DAC0"/>
    <w:rsid w:val="6903DEBD"/>
    <w:rsid w:val="6915360B"/>
    <w:rsid w:val="692F9A15"/>
    <w:rsid w:val="6948A631"/>
    <w:rsid w:val="695E627D"/>
    <w:rsid w:val="697108CF"/>
    <w:rsid w:val="69CC58DC"/>
    <w:rsid w:val="69EACBE9"/>
    <w:rsid w:val="6A342CCB"/>
    <w:rsid w:val="6A53023A"/>
    <w:rsid w:val="6A95CC78"/>
    <w:rsid w:val="6B259B97"/>
    <w:rsid w:val="6B33B994"/>
    <w:rsid w:val="6B8EED11"/>
    <w:rsid w:val="6BB93FC5"/>
    <w:rsid w:val="6BBD35ED"/>
    <w:rsid w:val="6BBE1ECD"/>
    <w:rsid w:val="6C20BF11"/>
    <w:rsid w:val="6C326B3F"/>
    <w:rsid w:val="6C6D8A42"/>
    <w:rsid w:val="6CA672A7"/>
    <w:rsid w:val="6CB1F8C8"/>
    <w:rsid w:val="6CB4EC3E"/>
    <w:rsid w:val="6CCE7F98"/>
    <w:rsid w:val="6CF79B58"/>
    <w:rsid w:val="6D228D28"/>
    <w:rsid w:val="6D2C8D1B"/>
    <w:rsid w:val="6D47CA18"/>
    <w:rsid w:val="6D4DBE38"/>
    <w:rsid w:val="6D531241"/>
    <w:rsid w:val="6D55D074"/>
    <w:rsid w:val="6D8B53AF"/>
    <w:rsid w:val="6D8D0D70"/>
    <w:rsid w:val="6DB64AC0"/>
    <w:rsid w:val="6DC2E1F5"/>
    <w:rsid w:val="6DE060BF"/>
    <w:rsid w:val="6E23E469"/>
    <w:rsid w:val="6E4B9C3D"/>
    <w:rsid w:val="6E505222"/>
    <w:rsid w:val="6E7C5B31"/>
    <w:rsid w:val="6E973811"/>
    <w:rsid w:val="6ECC8CE3"/>
    <w:rsid w:val="6F02E39D"/>
    <w:rsid w:val="6F57BE11"/>
    <w:rsid w:val="6F82181B"/>
    <w:rsid w:val="6FB6FBF1"/>
    <w:rsid w:val="6FE71845"/>
    <w:rsid w:val="70585517"/>
    <w:rsid w:val="706539D4"/>
    <w:rsid w:val="70D60E83"/>
    <w:rsid w:val="70EC4E86"/>
    <w:rsid w:val="715268FF"/>
    <w:rsid w:val="7157DABA"/>
    <w:rsid w:val="7191B974"/>
    <w:rsid w:val="71ABFAB1"/>
    <w:rsid w:val="72061078"/>
    <w:rsid w:val="7209D0C2"/>
    <w:rsid w:val="7226E414"/>
    <w:rsid w:val="723ADB37"/>
    <w:rsid w:val="72A07478"/>
    <w:rsid w:val="72EDD6D4"/>
    <w:rsid w:val="72FBF062"/>
    <w:rsid w:val="731A5A3C"/>
    <w:rsid w:val="73A275DC"/>
    <w:rsid w:val="73E2F494"/>
    <w:rsid w:val="7462F124"/>
    <w:rsid w:val="748A7034"/>
    <w:rsid w:val="74BC6480"/>
    <w:rsid w:val="74D7F4F4"/>
    <w:rsid w:val="75AC2B55"/>
    <w:rsid w:val="75E89837"/>
    <w:rsid w:val="75FC5B07"/>
    <w:rsid w:val="75FC66E3"/>
    <w:rsid w:val="760F571F"/>
    <w:rsid w:val="76275617"/>
    <w:rsid w:val="762CCCAE"/>
    <w:rsid w:val="7637C27A"/>
    <w:rsid w:val="763C34D0"/>
    <w:rsid w:val="7642452E"/>
    <w:rsid w:val="76CF64A1"/>
    <w:rsid w:val="76DF1BD5"/>
    <w:rsid w:val="76E24942"/>
    <w:rsid w:val="76FDA7A4"/>
    <w:rsid w:val="772DC317"/>
    <w:rsid w:val="77392E7A"/>
    <w:rsid w:val="7777C683"/>
    <w:rsid w:val="77A12ABA"/>
    <w:rsid w:val="77A24C8F"/>
    <w:rsid w:val="77D4F7DD"/>
    <w:rsid w:val="77E44DEB"/>
    <w:rsid w:val="7868A49E"/>
    <w:rsid w:val="7882D4C8"/>
    <w:rsid w:val="78E089A1"/>
    <w:rsid w:val="78F4D8D5"/>
    <w:rsid w:val="79046293"/>
    <w:rsid w:val="792CE90A"/>
    <w:rsid w:val="793A9B45"/>
    <w:rsid w:val="794F241F"/>
    <w:rsid w:val="7951499D"/>
    <w:rsid w:val="79B00746"/>
    <w:rsid w:val="79B4453B"/>
    <w:rsid w:val="79F1661D"/>
    <w:rsid w:val="7A094EB8"/>
    <w:rsid w:val="7A2521E6"/>
    <w:rsid w:val="7A742040"/>
    <w:rsid w:val="7A752974"/>
    <w:rsid w:val="7A849B6F"/>
    <w:rsid w:val="7AAC5BD3"/>
    <w:rsid w:val="7AAC8A01"/>
    <w:rsid w:val="7ACE4416"/>
    <w:rsid w:val="7AD3E874"/>
    <w:rsid w:val="7AFD14FA"/>
    <w:rsid w:val="7B0570A8"/>
    <w:rsid w:val="7B206230"/>
    <w:rsid w:val="7B5068D3"/>
    <w:rsid w:val="7BC09F74"/>
    <w:rsid w:val="7C56AB23"/>
    <w:rsid w:val="7CC36A32"/>
    <w:rsid w:val="7CF14BB7"/>
    <w:rsid w:val="7CF431B9"/>
    <w:rsid w:val="7D226E70"/>
    <w:rsid w:val="7D29A2AD"/>
    <w:rsid w:val="7D3C31B4"/>
    <w:rsid w:val="7D3E1EBB"/>
    <w:rsid w:val="7D785582"/>
    <w:rsid w:val="7D7C9655"/>
    <w:rsid w:val="7D7DA7EF"/>
    <w:rsid w:val="7D7FA398"/>
    <w:rsid w:val="7D92CC20"/>
    <w:rsid w:val="7DA7942B"/>
    <w:rsid w:val="7DC1F04F"/>
    <w:rsid w:val="7E61AEA6"/>
    <w:rsid w:val="7EC5EB44"/>
    <w:rsid w:val="7EDE43D3"/>
    <w:rsid w:val="7EEE32C7"/>
    <w:rsid w:val="7F4F3C9E"/>
    <w:rsid w:val="7F587C5A"/>
    <w:rsid w:val="7FAB9BC3"/>
    <w:rsid w:val="7FB5FE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E0584"/>
  <w15:chartTrackingRefBased/>
  <w15:docId w15:val="{7FD79A84-E8C8-4874-BC06-3C90ABEC3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D92B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unhideWhenUsed/>
    <w:qFormat/>
    <w:rsid w:val="00D92B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D92B85"/>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D92B85"/>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D92B85"/>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D92B85"/>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D92B85"/>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D92B85"/>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D92B85"/>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D92B85"/>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rsid w:val="00D92B85"/>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D92B85"/>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D92B85"/>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D92B85"/>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D92B85"/>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D92B85"/>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D92B85"/>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D92B85"/>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D92B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D92B85"/>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D92B85"/>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D92B85"/>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D92B85"/>
    <w:pPr>
      <w:spacing w:before="160"/>
      <w:jc w:val="center"/>
    </w:pPr>
    <w:rPr>
      <w:i/>
      <w:iCs/>
      <w:color w:val="404040" w:themeColor="text1" w:themeTint="BF"/>
    </w:rPr>
  </w:style>
  <w:style w:type="character" w:customStyle="1" w:styleId="TsitaatMrk">
    <w:name w:val="Tsitaat Märk"/>
    <w:basedOn w:val="Liguvaikefont"/>
    <w:link w:val="Tsitaat"/>
    <w:uiPriority w:val="29"/>
    <w:rsid w:val="00D92B85"/>
    <w:rPr>
      <w:i/>
      <w:iCs/>
      <w:color w:val="404040" w:themeColor="text1" w:themeTint="BF"/>
    </w:rPr>
  </w:style>
  <w:style w:type="paragraph" w:styleId="Loendilik">
    <w:name w:val="List Paragraph"/>
    <w:basedOn w:val="Normaallaad"/>
    <w:uiPriority w:val="34"/>
    <w:qFormat/>
    <w:rsid w:val="00D92B85"/>
    <w:pPr>
      <w:ind w:left="720"/>
      <w:contextualSpacing/>
    </w:pPr>
  </w:style>
  <w:style w:type="character" w:styleId="Selgeltmrgatavrhutus">
    <w:name w:val="Intense Emphasis"/>
    <w:basedOn w:val="Liguvaikefont"/>
    <w:uiPriority w:val="21"/>
    <w:qFormat/>
    <w:rsid w:val="00D92B85"/>
    <w:rPr>
      <w:i/>
      <w:iCs/>
      <w:color w:val="0F4761" w:themeColor="accent1" w:themeShade="BF"/>
    </w:rPr>
  </w:style>
  <w:style w:type="paragraph" w:styleId="Selgeltmrgatavtsitaat">
    <w:name w:val="Intense Quote"/>
    <w:basedOn w:val="Normaallaad"/>
    <w:next w:val="Normaallaad"/>
    <w:link w:val="SelgeltmrgatavtsitaatMrk"/>
    <w:uiPriority w:val="30"/>
    <w:qFormat/>
    <w:rsid w:val="00D92B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D92B85"/>
    <w:rPr>
      <w:i/>
      <w:iCs/>
      <w:color w:val="0F4761" w:themeColor="accent1" w:themeShade="BF"/>
    </w:rPr>
  </w:style>
  <w:style w:type="character" w:styleId="Selgeltmrgatavviide">
    <w:name w:val="Intense Reference"/>
    <w:basedOn w:val="Liguvaikefont"/>
    <w:uiPriority w:val="32"/>
    <w:qFormat/>
    <w:rsid w:val="00D92B85"/>
    <w:rPr>
      <w:b/>
      <w:bCs/>
      <w:smallCaps/>
      <w:color w:val="0F4761" w:themeColor="accent1" w:themeShade="BF"/>
      <w:spacing w:val="5"/>
    </w:rPr>
  </w:style>
  <w:style w:type="paragraph" w:styleId="Normaallaadveeb">
    <w:name w:val="Normal (Web)"/>
    <w:basedOn w:val="Normaallaad"/>
    <w:uiPriority w:val="99"/>
    <w:unhideWhenUsed/>
    <w:rsid w:val="00D92B85"/>
    <w:pP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character" w:styleId="Hperlink">
    <w:name w:val="Hyperlink"/>
    <w:basedOn w:val="Liguvaikefont"/>
    <w:uiPriority w:val="99"/>
    <w:unhideWhenUsed/>
    <w:rsid w:val="00D92B85"/>
    <w:rPr>
      <w:color w:val="467886" w:themeColor="hyperlink"/>
      <w:u w:val="single"/>
    </w:rPr>
  </w:style>
  <w:style w:type="character" w:styleId="Lahendamatamainimine">
    <w:name w:val="Unresolved Mention"/>
    <w:basedOn w:val="Liguvaikefont"/>
    <w:uiPriority w:val="99"/>
    <w:semiHidden/>
    <w:unhideWhenUsed/>
    <w:rsid w:val="00D92B85"/>
    <w:rPr>
      <w:color w:val="605E5C"/>
      <w:shd w:val="clear" w:color="auto" w:fill="E1DFDD"/>
    </w:rPr>
  </w:style>
  <w:style w:type="character" w:customStyle="1" w:styleId="normaltextrun">
    <w:name w:val="normaltextrun"/>
    <w:basedOn w:val="Liguvaikefont"/>
    <w:rsid w:val="00D92B85"/>
  </w:style>
  <w:style w:type="character" w:customStyle="1" w:styleId="eop">
    <w:name w:val="eop"/>
    <w:basedOn w:val="Liguvaikefont"/>
    <w:rsid w:val="00D92B85"/>
  </w:style>
  <w:style w:type="paragraph" w:customStyle="1" w:styleId="elementtoproof">
    <w:name w:val="elementtoproof"/>
    <w:basedOn w:val="Normaallaad"/>
    <w:uiPriority w:val="99"/>
    <w:semiHidden/>
    <w:rsid w:val="009B20CD"/>
    <w:pPr>
      <w:spacing w:after="0" w:line="240" w:lineRule="auto"/>
    </w:pPr>
    <w:rPr>
      <w:rFonts w:ascii="Aptos" w:hAnsi="Aptos" w:cs="Aptos"/>
      <w:kern w:val="0"/>
      <w:lang w:eastAsia="et-EE"/>
      <w14:ligatures w14:val="none"/>
    </w:rPr>
  </w:style>
  <w:style w:type="character" w:styleId="Kommentaariviide">
    <w:name w:val="annotation reference"/>
    <w:basedOn w:val="Liguvaikefont"/>
    <w:uiPriority w:val="99"/>
    <w:semiHidden/>
    <w:unhideWhenUsed/>
    <w:rsid w:val="009E0ADB"/>
    <w:rPr>
      <w:sz w:val="16"/>
      <w:szCs w:val="16"/>
    </w:rPr>
  </w:style>
  <w:style w:type="paragraph" w:styleId="Kommentaaritekst">
    <w:name w:val="annotation text"/>
    <w:basedOn w:val="Normaallaad"/>
    <w:link w:val="KommentaaritekstMrk"/>
    <w:uiPriority w:val="99"/>
    <w:unhideWhenUsed/>
    <w:rsid w:val="009E0ADB"/>
    <w:pPr>
      <w:spacing w:line="240" w:lineRule="auto"/>
    </w:pPr>
    <w:rPr>
      <w:sz w:val="20"/>
      <w:szCs w:val="20"/>
    </w:rPr>
  </w:style>
  <w:style w:type="character" w:customStyle="1" w:styleId="KommentaaritekstMrk">
    <w:name w:val="Kommentaari tekst Märk"/>
    <w:basedOn w:val="Liguvaikefont"/>
    <w:link w:val="Kommentaaritekst"/>
    <w:uiPriority w:val="99"/>
    <w:rsid w:val="009E0ADB"/>
    <w:rPr>
      <w:sz w:val="20"/>
      <w:szCs w:val="20"/>
    </w:rPr>
  </w:style>
  <w:style w:type="paragraph" w:styleId="Kommentaariteema">
    <w:name w:val="annotation subject"/>
    <w:basedOn w:val="Kommentaaritekst"/>
    <w:next w:val="Kommentaaritekst"/>
    <w:link w:val="KommentaariteemaMrk"/>
    <w:uiPriority w:val="99"/>
    <w:semiHidden/>
    <w:unhideWhenUsed/>
    <w:rsid w:val="009E0ADB"/>
    <w:rPr>
      <w:b/>
      <w:bCs/>
    </w:rPr>
  </w:style>
  <w:style w:type="character" w:customStyle="1" w:styleId="KommentaariteemaMrk">
    <w:name w:val="Kommentaari teema Märk"/>
    <w:basedOn w:val="KommentaaritekstMrk"/>
    <w:link w:val="Kommentaariteema"/>
    <w:uiPriority w:val="99"/>
    <w:semiHidden/>
    <w:rsid w:val="009E0ADB"/>
    <w:rPr>
      <w:b/>
      <w:bCs/>
      <w:sz w:val="20"/>
      <w:szCs w:val="20"/>
    </w:rPr>
  </w:style>
  <w:style w:type="paragraph" w:styleId="Allmrkusetekst">
    <w:name w:val="footnote text"/>
    <w:basedOn w:val="Normaallaad"/>
    <w:link w:val="AllmrkusetekstMrk"/>
    <w:uiPriority w:val="99"/>
    <w:semiHidden/>
    <w:unhideWhenUsed/>
    <w:rsid w:val="00450CB6"/>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450CB6"/>
    <w:rPr>
      <w:sz w:val="20"/>
      <w:szCs w:val="20"/>
    </w:rPr>
  </w:style>
  <w:style w:type="character" w:styleId="Allmrkuseviide">
    <w:name w:val="footnote reference"/>
    <w:basedOn w:val="Liguvaikefont"/>
    <w:uiPriority w:val="99"/>
    <w:semiHidden/>
    <w:unhideWhenUsed/>
    <w:rsid w:val="00450CB6"/>
    <w:rPr>
      <w:vertAlign w:val="superscript"/>
    </w:rPr>
  </w:style>
  <w:style w:type="table" w:styleId="Kontuurtabel">
    <w:name w:val="Table Grid"/>
    <w:basedOn w:val="Normaaltabel"/>
    <w:uiPriority w:val="59"/>
    <w:rsid w:val="00FB4123"/>
    <w:pPr>
      <w:spacing w:after="0" w:line="240" w:lineRule="auto"/>
    </w:pPr>
    <w:tblPr/>
  </w:style>
  <w:style w:type="paragraph" w:customStyle="1" w:styleId="paragraph">
    <w:name w:val="paragraph"/>
    <w:basedOn w:val="Normaallaad"/>
    <w:rsid w:val="00C62D82"/>
    <w:pP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paragraph" w:styleId="Pis">
    <w:name w:val="header"/>
    <w:basedOn w:val="Normaallaad"/>
    <w:link w:val="PisMrk"/>
    <w:uiPriority w:val="99"/>
    <w:unhideWhenUsed/>
    <w:rsid w:val="000D5B0F"/>
    <w:pPr>
      <w:tabs>
        <w:tab w:val="center" w:pos="4536"/>
        <w:tab w:val="right" w:pos="9072"/>
      </w:tabs>
      <w:spacing w:after="0" w:line="240" w:lineRule="auto"/>
    </w:pPr>
  </w:style>
  <w:style w:type="character" w:customStyle="1" w:styleId="PisMrk">
    <w:name w:val="Päis Märk"/>
    <w:basedOn w:val="Liguvaikefont"/>
    <w:link w:val="Pis"/>
    <w:uiPriority w:val="99"/>
    <w:rsid w:val="000D5B0F"/>
  </w:style>
  <w:style w:type="paragraph" w:styleId="Jalus">
    <w:name w:val="footer"/>
    <w:basedOn w:val="Normaallaad"/>
    <w:link w:val="JalusMrk"/>
    <w:uiPriority w:val="99"/>
    <w:unhideWhenUsed/>
    <w:rsid w:val="000D5B0F"/>
    <w:pPr>
      <w:tabs>
        <w:tab w:val="center" w:pos="4536"/>
        <w:tab w:val="right" w:pos="9072"/>
      </w:tabs>
      <w:spacing w:after="0" w:line="240" w:lineRule="auto"/>
    </w:pPr>
  </w:style>
  <w:style w:type="character" w:customStyle="1" w:styleId="JalusMrk">
    <w:name w:val="Jalus Märk"/>
    <w:basedOn w:val="Liguvaikefont"/>
    <w:link w:val="Jalus"/>
    <w:uiPriority w:val="99"/>
    <w:rsid w:val="000D5B0F"/>
  </w:style>
  <w:style w:type="paragraph" w:styleId="Sisukorrapealkiri">
    <w:name w:val="TOC Heading"/>
    <w:basedOn w:val="Pealkiri1"/>
    <w:next w:val="Normaallaad"/>
    <w:uiPriority w:val="39"/>
    <w:unhideWhenUsed/>
    <w:qFormat/>
    <w:rsid w:val="007074E5"/>
    <w:pPr>
      <w:spacing w:before="240" w:after="0" w:line="259" w:lineRule="auto"/>
      <w:outlineLvl w:val="9"/>
    </w:pPr>
    <w:rPr>
      <w:kern w:val="0"/>
      <w:sz w:val="32"/>
      <w:szCs w:val="32"/>
      <w:lang w:eastAsia="et-EE"/>
      <w14:ligatures w14:val="none"/>
    </w:rPr>
  </w:style>
  <w:style w:type="paragraph" w:styleId="SK1">
    <w:name w:val="toc 1"/>
    <w:basedOn w:val="Normaallaad"/>
    <w:next w:val="Normaallaad"/>
    <w:autoRedefine/>
    <w:uiPriority w:val="39"/>
    <w:unhideWhenUsed/>
    <w:rsid w:val="007074E5"/>
    <w:pPr>
      <w:spacing w:after="100"/>
    </w:pPr>
  </w:style>
  <w:style w:type="character" w:customStyle="1" w:styleId="superscript">
    <w:name w:val="superscript"/>
    <w:basedOn w:val="Liguvaikefont"/>
    <w:rsid w:val="00376590"/>
  </w:style>
  <w:style w:type="character" w:customStyle="1" w:styleId="tabchar">
    <w:name w:val="tabchar"/>
    <w:basedOn w:val="Liguvaikefont"/>
    <w:rsid w:val="007C727D"/>
  </w:style>
  <w:style w:type="character" w:styleId="Klastatudhperlink">
    <w:name w:val="FollowedHyperlink"/>
    <w:basedOn w:val="Liguvaikefont"/>
    <w:uiPriority w:val="99"/>
    <w:semiHidden/>
    <w:unhideWhenUsed/>
    <w:rsid w:val="00CE4743"/>
    <w:rPr>
      <w:color w:val="96607D" w:themeColor="followedHyperlink"/>
      <w:u w:val="single"/>
    </w:rPr>
  </w:style>
  <w:style w:type="paragraph" w:styleId="SK2">
    <w:name w:val="toc 2"/>
    <w:basedOn w:val="Normaallaad"/>
    <w:next w:val="Normaallaad"/>
    <w:uiPriority w:val="39"/>
    <w:unhideWhenUsed/>
    <w:rsid w:val="0036366A"/>
    <w:pPr>
      <w:spacing w:after="100"/>
      <w:ind w:left="220"/>
    </w:pPr>
  </w:style>
  <w:style w:type="paragraph" w:styleId="SK3">
    <w:name w:val="toc 3"/>
    <w:basedOn w:val="Normaallaad"/>
    <w:next w:val="Normaallaad"/>
    <w:uiPriority w:val="39"/>
    <w:unhideWhenUsed/>
    <w:rsid w:val="0036366A"/>
    <w:pPr>
      <w:spacing w:after="100"/>
      <w:ind w:left="440"/>
    </w:pPr>
  </w:style>
  <w:style w:type="paragraph" w:styleId="Redaktsioon">
    <w:name w:val="Revision"/>
    <w:hidden/>
    <w:uiPriority w:val="99"/>
    <w:semiHidden/>
    <w:rsid w:val="003636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53973">
      <w:bodyDiv w:val="1"/>
      <w:marLeft w:val="0"/>
      <w:marRight w:val="0"/>
      <w:marTop w:val="0"/>
      <w:marBottom w:val="0"/>
      <w:divBdr>
        <w:top w:val="none" w:sz="0" w:space="0" w:color="auto"/>
        <w:left w:val="none" w:sz="0" w:space="0" w:color="auto"/>
        <w:bottom w:val="none" w:sz="0" w:space="0" w:color="auto"/>
        <w:right w:val="none" w:sz="0" w:space="0" w:color="auto"/>
      </w:divBdr>
      <w:divsChild>
        <w:div w:id="527184131">
          <w:marLeft w:val="0"/>
          <w:marRight w:val="0"/>
          <w:marTop w:val="0"/>
          <w:marBottom w:val="0"/>
          <w:divBdr>
            <w:top w:val="none" w:sz="0" w:space="0" w:color="auto"/>
            <w:left w:val="none" w:sz="0" w:space="0" w:color="auto"/>
            <w:bottom w:val="none" w:sz="0" w:space="0" w:color="auto"/>
            <w:right w:val="none" w:sz="0" w:space="0" w:color="auto"/>
          </w:divBdr>
        </w:div>
        <w:div w:id="960380879">
          <w:marLeft w:val="0"/>
          <w:marRight w:val="0"/>
          <w:marTop w:val="0"/>
          <w:marBottom w:val="0"/>
          <w:divBdr>
            <w:top w:val="none" w:sz="0" w:space="0" w:color="auto"/>
            <w:left w:val="none" w:sz="0" w:space="0" w:color="auto"/>
            <w:bottom w:val="none" w:sz="0" w:space="0" w:color="auto"/>
            <w:right w:val="none" w:sz="0" w:space="0" w:color="auto"/>
          </w:divBdr>
        </w:div>
        <w:div w:id="1145779645">
          <w:marLeft w:val="0"/>
          <w:marRight w:val="0"/>
          <w:marTop w:val="0"/>
          <w:marBottom w:val="0"/>
          <w:divBdr>
            <w:top w:val="none" w:sz="0" w:space="0" w:color="auto"/>
            <w:left w:val="none" w:sz="0" w:space="0" w:color="auto"/>
            <w:bottom w:val="none" w:sz="0" w:space="0" w:color="auto"/>
            <w:right w:val="none" w:sz="0" w:space="0" w:color="auto"/>
          </w:divBdr>
        </w:div>
        <w:div w:id="2008827242">
          <w:marLeft w:val="0"/>
          <w:marRight w:val="0"/>
          <w:marTop w:val="0"/>
          <w:marBottom w:val="0"/>
          <w:divBdr>
            <w:top w:val="none" w:sz="0" w:space="0" w:color="auto"/>
            <w:left w:val="none" w:sz="0" w:space="0" w:color="auto"/>
            <w:bottom w:val="none" w:sz="0" w:space="0" w:color="auto"/>
            <w:right w:val="none" w:sz="0" w:space="0" w:color="auto"/>
          </w:divBdr>
        </w:div>
      </w:divsChild>
    </w:div>
    <w:div w:id="724988520">
      <w:bodyDiv w:val="1"/>
      <w:marLeft w:val="0"/>
      <w:marRight w:val="0"/>
      <w:marTop w:val="0"/>
      <w:marBottom w:val="0"/>
      <w:divBdr>
        <w:top w:val="none" w:sz="0" w:space="0" w:color="auto"/>
        <w:left w:val="none" w:sz="0" w:space="0" w:color="auto"/>
        <w:bottom w:val="none" w:sz="0" w:space="0" w:color="auto"/>
        <w:right w:val="none" w:sz="0" w:space="0" w:color="auto"/>
      </w:divBdr>
    </w:div>
    <w:div w:id="967931324">
      <w:bodyDiv w:val="1"/>
      <w:marLeft w:val="0"/>
      <w:marRight w:val="0"/>
      <w:marTop w:val="0"/>
      <w:marBottom w:val="0"/>
      <w:divBdr>
        <w:top w:val="none" w:sz="0" w:space="0" w:color="auto"/>
        <w:left w:val="none" w:sz="0" w:space="0" w:color="auto"/>
        <w:bottom w:val="none" w:sz="0" w:space="0" w:color="auto"/>
        <w:right w:val="none" w:sz="0" w:space="0" w:color="auto"/>
      </w:divBdr>
      <w:divsChild>
        <w:div w:id="1130854575">
          <w:marLeft w:val="0"/>
          <w:marRight w:val="0"/>
          <w:marTop w:val="0"/>
          <w:marBottom w:val="0"/>
          <w:divBdr>
            <w:top w:val="none" w:sz="0" w:space="0" w:color="auto"/>
            <w:left w:val="none" w:sz="0" w:space="0" w:color="auto"/>
            <w:bottom w:val="none" w:sz="0" w:space="0" w:color="auto"/>
            <w:right w:val="none" w:sz="0" w:space="0" w:color="auto"/>
          </w:divBdr>
        </w:div>
        <w:div w:id="1140685150">
          <w:marLeft w:val="0"/>
          <w:marRight w:val="0"/>
          <w:marTop w:val="0"/>
          <w:marBottom w:val="0"/>
          <w:divBdr>
            <w:top w:val="none" w:sz="0" w:space="0" w:color="auto"/>
            <w:left w:val="none" w:sz="0" w:space="0" w:color="auto"/>
            <w:bottom w:val="none" w:sz="0" w:space="0" w:color="auto"/>
            <w:right w:val="none" w:sz="0" w:space="0" w:color="auto"/>
          </w:divBdr>
        </w:div>
        <w:div w:id="1942490511">
          <w:marLeft w:val="0"/>
          <w:marRight w:val="0"/>
          <w:marTop w:val="0"/>
          <w:marBottom w:val="0"/>
          <w:divBdr>
            <w:top w:val="none" w:sz="0" w:space="0" w:color="auto"/>
            <w:left w:val="none" w:sz="0" w:space="0" w:color="auto"/>
            <w:bottom w:val="none" w:sz="0" w:space="0" w:color="auto"/>
            <w:right w:val="none" w:sz="0" w:space="0" w:color="auto"/>
          </w:divBdr>
        </w:div>
      </w:divsChild>
    </w:div>
    <w:div w:id="1302541708">
      <w:bodyDiv w:val="1"/>
      <w:marLeft w:val="0"/>
      <w:marRight w:val="0"/>
      <w:marTop w:val="0"/>
      <w:marBottom w:val="0"/>
      <w:divBdr>
        <w:top w:val="none" w:sz="0" w:space="0" w:color="auto"/>
        <w:left w:val="none" w:sz="0" w:space="0" w:color="auto"/>
        <w:bottom w:val="none" w:sz="0" w:space="0" w:color="auto"/>
        <w:right w:val="none" w:sz="0" w:space="0" w:color="auto"/>
      </w:divBdr>
    </w:div>
    <w:div w:id="1406341846">
      <w:bodyDiv w:val="1"/>
      <w:marLeft w:val="0"/>
      <w:marRight w:val="0"/>
      <w:marTop w:val="0"/>
      <w:marBottom w:val="0"/>
      <w:divBdr>
        <w:top w:val="none" w:sz="0" w:space="0" w:color="auto"/>
        <w:left w:val="none" w:sz="0" w:space="0" w:color="auto"/>
        <w:bottom w:val="none" w:sz="0" w:space="0" w:color="auto"/>
        <w:right w:val="none" w:sz="0" w:space="0" w:color="auto"/>
      </w:divBdr>
    </w:div>
    <w:div w:id="1549877757">
      <w:bodyDiv w:val="1"/>
      <w:marLeft w:val="0"/>
      <w:marRight w:val="0"/>
      <w:marTop w:val="0"/>
      <w:marBottom w:val="0"/>
      <w:divBdr>
        <w:top w:val="none" w:sz="0" w:space="0" w:color="auto"/>
        <w:left w:val="none" w:sz="0" w:space="0" w:color="auto"/>
        <w:bottom w:val="none" w:sz="0" w:space="0" w:color="auto"/>
        <w:right w:val="none" w:sz="0" w:space="0" w:color="auto"/>
      </w:divBdr>
    </w:div>
    <w:div w:id="1562011634">
      <w:bodyDiv w:val="1"/>
      <w:marLeft w:val="0"/>
      <w:marRight w:val="0"/>
      <w:marTop w:val="0"/>
      <w:marBottom w:val="0"/>
      <w:divBdr>
        <w:top w:val="none" w:sz="0" w:space="0" w:color="auto"/>
        <w:left w:val="none" w:sz="0" w:space="0" w:color="auto"/>
        <w:bottom w:val="none" w:sz="0" w:space="0" w:color="auto"/>
        <w:right w:val="none" w:sz="0" w:space="0" w:color="auto"/>
      </w:divBdr>
      <w:divsChild>
        <w:div w:id="507906515">
          <w:marLeft w:val="0"/>
          <w:marRight w:val="0"/>
          <w:marTop w:val="0"/>
          <w:marBottom w:val="0"/>
          <w:divBdr>
            <w:top w:val="none" w:sz="0" w:space="0" w:color="auto"/>
            <w:left w:val="none" w:sz="0" w:space="0" w:color="auto"/>
            <w:bottom w:val="none" w:sz="0" w:space="0" w:color="auto"/>
            <w:right w:val="none" w:sz="0" w:space="0" w:color="auto"/>
          </w:divBdr>
        </w:div>
        <w:div w:id="1603302520">
          <w:marLeft w:val="0"/>
          <w:marRight w:val="0"/>
          <w:marTop w:val="0"/>
          <w:marBottom w:val="0"/>
          <w:divBdr>
            <w:top w:val="none" w:sz="0" w:space="0" w:color="auto"/>
            <w:left w:val="none" w:sz="0" w:space="0" w:color="auto"/>
            <w:bottom w:val="none" w:sz="0" w:space="0" w:color="auto"/>
            <w:right w:val="none" w:sz="0" w:space="0" w:color="auto"/>
          </w:divBdr>
        </w:div>
        <w:div w:id="2048950000">
          <w:marLeft w:val="0"/>
          <w:marRight w:val="0"/>
          <w:marTop w:val="0"/>
          <w:marBottom w:val="0"/>
          <w:divBdr>
            <w:top w:val="none" w:sz="0" w:space="0" w:color="auto"/>
            <w:left w:val="none" w:sz="0" w:space="0" w:color="auto"/>
            <w:bottom w:val="none" w:sz="0" w:space="0" w:color="auto"/>
            <w:right w:val="none" w:sz="0" w:space="0" w:color="auto"/>
          </w:divBdr>
        </w:div>
        <w:div w:id="2064938773">
          <w:marLeft w:val="0"/>
          <w:marRight w:val="0"/>
          <w:marTop w:val="0"/>
          <w:marBottom w:val="0"/>
          <w:divBdr>
            <w:top w:val="none" w:sz="0" w:space="0" w:color="auto"/>
            <w:left w:val="none" w:sz="0" w:space="0" w:color="auto"/>
            <w:bottom w:val="none" w:sz="0" w:space="0" w:color="auto"/>
            <w:right w:val="none" w:sz="0" w:space="0" w:color="auto"/>
          </w:divBdr>
        </w:div>
      </w:divsChild>
    </w:div>
    <w:div w:id="1608999946">
      <w:bodyDiv w:val="1"/>
      <w:marLeft w:val="0"/>
      <w:marRight w:val="0"/>
      <w:marTop w:val="0"/>
      <w:marBottom w:val="0"/>
      <w:divBdr>
        <w:top w:val="none" w:sz="0" w:space="0" w:color="auto"/>
        <w:left w:val="none" w:sz="0" w:space="0" w:color="auto"/>
        <w:bottom w:val="none" w:sz="0" w:space="0" w:color="auto"/>
        <w:right w:val="none" w:sz="0" w:space="0" w:color="auto"/>
      </w:divBdr>
      <w:divsChild>
        <w:div w:id="14426207">
          <w:marLeft w:val="0"/>
          <w:marRight w:val="0"/>
          <w:marTop w:val="0"/>
          <w:marBottom w:val="0"/>
          <w:divBdr>
            <w:top w:val="none" w:sz="0" w:space="0" w:color="auto"/>
            <w:left w:val="none" w:sz="0" w:space="0" w:color="auto"/>
            <w:bottom w:val="none" w:sz="0" w:space="0" w:color="auto"/>
            <w:right w:val="none" w:sz="0" w:space="0" w:color="auto"/>
          </w:divBdr>
        </w:div>
        <w:div w:id="22022244">
          <w:marLeft w:val="0"/>
          <w:marRight w:val="0"/>
          <w:marTop w:val="0"/>
          <w:marBottom w:val="0"/>
          <w:divBdr>
            <w:top w:val="none" w:sz="0" w:space="0" w:color="auto"/>
            <w:left w:val="none" w:sz="0" w:space="0" w:color="auto"/>
            <w:bottom w:val="none" w:sz="0" w:space="0" w:color="auto"/>
            <w:right w:val="none" w:sz="0" w:space="0" w:color="auto"/>
          </w:divBdr>
        </w:div>
        <w:div w:id="1109356755">
          <w:marLeft w:val="0"/>
          <w:marRight w:val="0"/>
          <w:marTop w:val="0"/>
          <w:marBottom w:val="0"/>
          <w:divBdr>
            <w:top w:val="none" w:sz="0" w:space="0" w:color="auto"/>
            <w:left w:val="none" w:sz="0" w:space="0" w:color="auto"/>
            <w:bottom w:val="none" w:sz="0" w:space="0" w:color="auto"/>
            <w:right w:val="none" w:sz="0" w:space="0" w:color="auto"/>
          </w:divBdr>
        </w:div>
        <w:div w:id="1749156360">
          <w:marLeft w:val="0"/>
          <w:marRight w:val="0"/>
          <w:marTop w:val="0"/>
          <w:marBottom w:val="0"/>
          <w:divBdr>
            <w:top w:val="none" w:sz="0" w:space="0" w:color="auto"/>
            <w:left w:val="none" w:sz="0" w:space="0" w:color="auto"/>
            <w:bottom w:val="none" w:sz="0" w:space="0" w:color="auto"/>
            <w:right w:val="none" w:sz="0" w:space="0" w:color="auto"/>
          </w:divBdr>
        </w:div>
        <w:div w:id="1840657115">
          <w:marLeft w:val="0"/>
          <w:marRight w:val="0"/>
          <w:marTop w:val="0"/>
          <w:marBottom w:val="0"/>
          <w:divBdr>
            <w:top w:val="none" w:sz="0" w:space="0" w:color="auto"/>
            <w:left w:val="none" w:sz="0" w:space="0" w:color="auto"/>
            <w:bottom w:val="none" w:sz="0" w:space="0" w:color="auto"/>
            <w:right w:val="none" w:sz="0" w:space="0" w:color="auto"/>
          </w:divBdr>
        </w:div>
        <w:div w:id="1946304625">
          <w:marLeft w:val="0"/>
          <w:marRight w:val="0"/>
          <w:marTop w:val="0"/>
          <w:marBottom w:val="0"/>
          <w:divBdr>
            <w:top w:val="none" w:sz="0" w:space="0" w:color="auto"/>
            <w:left w:val="none" w:sz="0" w:space="0" w:color="auto"/>
            <w:bottom w:val="none" w:sz="0" w:space="0" w:color="auto"/>
            <w:right w:val="none" w:sz="0" w:space="0" w:color="auto"/>
          </w:divBdr>
        </w:div>
        <w:div w:id="2116628301">
          <w:marLeft w:val="0"/>
          <w:marRight w:val="0"/>
          <w:marTop w:val="0"/>
          <w:marBottom w:val="0"/>
          <w:divBdr>
            <w:top w:val="none" w:sz="0" w:space="0" w:color="auto"/>
            <w:left w:val="none" w:sz="0" w:space="0" w:color="auto"/>
            <w:bottom w:val="none" w:sz="0" w:space="0" w:color="auto"/>
            <w:right w:val="none" w:sz="0" w:space="0" w:color="auto"/>
          </w:divBdr>
        </w:div>
      </w:divsChild>
    </w:div>
    <w:div w:id="176680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vis.ttja.ee/modules/dokumendiregister/?search%5bpublic_number%5d=16-6%2F20-07294-077"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aitseministeerium.ee/et/planeeringud/kaitsetoostuspar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ilv.transpordiamet.ee/s/fcaLcpiGVx4fFjj"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ilv.transpordiamet.ee/s/Tt2x20c6eLllMB5"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lv.transpordiamet.ee/s/X6wQMsSbleP8x5c"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T/TXT/?uri=JOIN%3A2022%3A48%3AFIN" TargetMode="External"/><Relationship Id="rId3" Type="http://schemas.openxmlformats.org/officeDocument/2006/relationships/hyperlink" Target="https://www.kaitseministeerium.ee/sites/default/files/tulemusvaldkonna_julgeolek_ja_riigikaitse_2024.a_tulemusaruanne.pdf" TargetMode="External"/><Relationship Id="rId7" Type="http://schemas.openxmlformats.org/officeDocument/2006/relationships/hyperlink" Target="https://kaitseministeerium.ee/sites/default/files/Planeeringud/Kaitsetoostus_2025/09062025/ksh_lisa_5_natura_hindamine.pdf" TargetMode="External"/><Relationship Id="rId2" Type="http://schemas.openxmlformats.org/officeDocument/2006/relationships/hyperlink" Target="https://valitsus.ee/strateegia-eesti-2035-arengukavad-ja-planeering/strateegia" TargetMode="External"/><Relationship Id="rId1" Type="http://schemas.openxmlformats.org/officeDocument/2006/relationships/hyperlink" Target="https://eur-lex.europa.eu/legal-content/ET/TXT/PDF/?uri=OJ:L_202501914" TargetMode="External"/><Relationship Id="rId6" Type="http://schemas.openxmlformats.org/officeDocument/2006/relationships/hyperlink" Target="https://kaitseministeerium.ee/sites/default/files/Planeeringud/Kaitsetoostus_2025/Riigieriplaneering/asukoha_eelvalik_ja_mojude_hindamise_sh_keskkonnamoju_strateegilise_hindamise_esimese_etapi_aruanne.pdf" TargetMode="External"/><Relationship Id="rId5" Type="http://schemas.openxmlformats.org/officeDocument/2006/relationships/hyperlink" Target="https://www.riigiteataja.ee/akt/317022024002" TargetMode="External"/><Relationship Id="rId4" Type="http://schemas.openxmlformats.org/officeDocument/2006/relationships/hyperlink" Target="https://www.hm.ee/sites/default/files/documents/2025-06/TUA24%20_TAIE_0.pdf"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C10763CB4F7BD44BB237EDFDBFAA82F" ma:contentTypeVersion="13" ma:contentTypeDescription="Loo uus dokument" ma:contentTypeScope="" ma:versionID="84964421b740aafa6efb5ad74d5f679f">
  <xsd:schema xmlns:xsd="http://www.w3.org/2001/XMLSchema" xmlns:xs="http://www.w3.org/2001/XMLSchema" xmlns:p="http://schemas.microsoft.com/office/2006/metadata/properties" xmlns:ns2="791cda7c-b54c-4ff0-ac8a-2fd70efe8047" xmlns:ns3="16e55440-18cf-4793-943e-b80606625f47" targetNamespace="http://schemas.microsoft.com/office/2006/metadata/properties" ma:root="true" ma:fieldsID="d07bee18d3c51a93b11c9bc6037d91ae" ns2:_="" ns3:_="">
    <xsd:import namespace="791cda7c-b54c-4ff0-ac8a-2fd70efe8047"/>
    <xsd:import namespace="16e55440-18cf-4793-943e-b80606625f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cda7c-b54c-4ff0-ac8a-2fd70efe8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55440-18cf-4793-943e-b80606625f4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6179cd-c2b5-4b79-85b4-70e5ef409ca2}" ma:internalName="TaxCatchAll" ma:showField="CatchAllData" ma:web="16e55440-18cf-4793-943e-b80606625f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91cda7c-b54c-4ff0-ac8a-2fd70efe8047">
      <Terms xmlns="http://schemas.microsoft.com/office/infopath/2007/PartnerControls"/>
    </lcf76f155ced4ddcb4097134ff3c332f>
    <TaxCatchAll xmlns="16e55440-18cf-4793-943e-b80606625f47" xsi:nil="true"/>
  </documentManagement>
</p:properties>
</file>

<file path=customXml/itemProps1.xml><?xml version="1.0" encoding="utf-8"?>
<ds:datastoreItem xmlns:ds="http://schemas.openxmlformats.org/officeDocument/2006/customXml" ds:itemID="{6CADC07C-EE6E-4D4B-A246-2F5A2EDD78DC}">
  <ds:schemaRefs>
    <ds:schemaRef ds:uri="http://schemas.openxmlformats.org/officeDocument/2006/bibliography"/>
  </ds:schemaRefs>
</ds:datastoreItem>
</file>

<file path=customXml/itemProps2.xml><?xml version="1.0" encoding="utf-8"?>
<ds:datastoreItem xmlns:ds="http://schemas.openxmlformats.org/officeDocument/2006/customXml" ds:itemID="{72936603-49C0-4BEA-9BB6-29E83323B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1cda7c-b54c-4ff0-ac8a-2fd70efe8047"/>
    <ds:schemaRef ds:uri="16e55440-18cf-4793-943e-b80606625f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DFFE0E-6716-4916-928E-8C859293CFFB}">
  <ds:schemaRefs>
    <ds:schemaRef ds:uri="http://schemas.microsoft.com/sharepoint/v3/contenttype/forms"/>
  </ds:schemaRefs>
</ds:datastoreItem>
</file>

<file path=customXml/itemProps4.xml><?xml version="1.0" encoding="utf-8"?>
<ds:datastoreItem xmlns:ds="http://schemas.openxmlformats.org/officeDocument/2006/customXml" ds:itemID="{8BA07FC1-5417-4C8D-8BF1-842237B8B723}">
  <ds:schemaRefs>
    <ds:schemaRef ds:uri="http://schemas.microsoft.com/office/2006/metadata/properties"/>
    <ds:schemaRef ds:uri="http://schemas.microsoft.com/office/infopath/2007/PartnerControls"/>
    <ds:schemaRef ds:uri="791cda7c-b54c-4ff0-ac8a-2fd70efe8047"/>
    <ds:schemaRef ds:uri="16e55440-18cf-4793-943e-b80606625f47"/>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5477</Words>
  <Characters>31768</Characters>
  <Application>Microsoft Office Word</Application>
  <DocSecurity>0</DocSecurity>
  <Lines>264</Lines>
  <Paragraphs>74</Paragraphs>
  <ScaleCrop>false</ScaleCrop>
  <Company/>
  <LinksUpToDate>false</LinksUpToDate>
  <CharactersWithSpaces>37171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Miryam Vahtra - RAM</dc:creator>
  <cp:keywords/>
  <dc:description/>
  <cp:lastModifiedBy>Miryam Vahtra - RAM</cp:lastModifiedBy>
  <cp:revision>7</cp:revision>
  <dcterms:created xsi:type="dcterms:W3CDTF">2025-11-11T14:25:00Z</dcterms:created>
  <dcterms:modified xsi:type="dcterms:W3CDTF">2025-11-11T14:29:00Z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2025-10-05T17:02:10Z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519791f1-d055-4e35-8887-161791acbd2b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0x010100BC10763CB4F7BD44BB237EDFDBFAA82F</vt:lpwstr>
  </property>
  <property fmtid="{D5CDD505-2E9C-101B-9397-08002B2CF9AE}" pid="11" name="MediaServiceImageTags">
    <vt:lpwstr/>
  </property>
  <property fmtid="{D5CDD505-2E9C-101B-9397-08002B2CF9AE}" pid="12" name="docLang">
    <vt:lpwstr>et</vt:lpwstr>
  </property>
</Properties>
</file>